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1ED" w:rsidRPr="001041ED" w:rsidRDefault="001041ED" w:rsidP="00104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1ED">
        <w:rPr>
          <w:rFonts w:ascii="Tahoma" w:eastAsia="Times New Roman" w:hAnsi="Tahoma" w:cs="Tahoma"/>
          <w:b/>
          <w:bCs/>
          <w:color w:val="000000"/>
          <w:sz w:val="23"/>
          <w:szCs w:val="23"/>
          <w:shd w:val="clear" w:color="auto" w:fill="FFFFFF"/>
          <w:lang w:eastAsia="ru-RU"/>
        </w:rPr>
        <w:t>Проектная декларация строящегося двухсекционного жилого дома с встроенными нежилыми помещениями в г. Троицк  Московкой области</w:t>
      </w:r>
      <w:r w:rsidRPr="001041ED">
        <w:rPr>
          <w:rFonts w:ascii="Tahoma" w:eastAsia="Times New Roman" w:hAnsi="Tahoma" w:cs="Tahoma"/>
          <w:color w:val="000000"/>
          <w:sz w:val="23"/>
          <w:lang w:eastAsia="ru-RU"/>
        </w:rPr>
        <w:t> </w:t>
      </w:r>
      <w:r w:rsidRPr="001041ED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br/>
      </w:r>
      <w:r w:rsidRPr="001041ED">
        <w:rPr>
          <w:rFonts w:ascii="Tahoma" w:eastAsia="Times New Roman" w:hAnsi="Tahoma" w:cs="Tahoma"/>
          <w:i/>
          <w:iCs/>
          <w:color w:val="000000"/>
          <w:sz w:val="23"/>
          <w:szCs w:val="23"/>
          <w:shd w:val="clear" w:color="auto" w:fill="FFFFFF"/>
          <w:lang w:eastAsia="ru-RU"/>
        </w:rPr>
        <w:t>Ι. Информация о застройщике жилого 17-ти этажного 2-х секционного  жилого дома</w:t>
      </w:r>
      <w:r w:rsidRPr="001041ED">
        <w:rPr>
          <w:rFonts w:ascii="Tahoma" w:eastAsia="Times New Roman" w:hAnsi="Tahoma" w:cs="Tahoma"/>
          <w:color w:val="000000"/>
          <w:sz w:val="23"/>
          <w:lang w:eastAsia="ru-RU"/>
        </w:rPr>
        <w:t> </w:t>
      </w:r>
      <w:r w:rsidRPr="001041ED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br/>
      </w:r>
      <w:r w:rsidRPr="001041ED">
        <w:rPr>
          <w:rFonts w:ascii="Tahoma" w:eastAsia="Times New Roman" w:hAnsi="Tahoma" w:cs="Tahoma"/>
          <w:i/>
          <w:iCs/>
          <w:color w:val="000000"/>
          <w:sz w:val="23"/>
          <w:szCs w:val="23"/>
          <w:shd w:val="clear" w:color="auto" w:fill="FFFFFF"/>
          <w:lang w:eastAsia="ru-RU"/>
        </w:rPr>
        <w:t>с нежилыми помещениями «Д-36» в г. Троицк МО.</w:t>
      </w:r>
      <w:r w:rsidRPr="001041ED">
        <w:rPr>
          <w:rFonts w:ascii="Tahoma" w:eastAsia="Times New Roman" w:hAnsi="Tahoma" w:cs="Tahoma"/>
          <w:i/>
          <w:iCs/>
          <w:color w:val="000000"/>
          <w:sz w:val="23"/>
          <w:lang w:eastAsia="ru-RU"/>
        </w:rPr>
        <w:t> </w:t>
      </w:r>
      <w:r w:rsidRPr="001041ED">
        <w:rPr>
          <w:rFonts w:ascii="Tahoma" w:eastAsia="Times New Roman" w:hAnsi="Tahoma" w:cs="Tahoma"/>
          <w:i/>
          <w:iCs/>
          <w:color w:val="000000"/>
          <w:sz w:val="23"/>
          <w:szCs w:val="23"/>
          <w:shd w:val="clear" w:color="auto" w:fill="FFFFFF"/>
          <w:lang w:eastAsia="ru-RU"/>
        </w:rPr>
        <w:br/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1"/>
        <w:gridCol w:w="4184"/>
        <w:gridCol w:w="4740"/>
      </w:tblGrid>
      <w:tr w:rsidR="001041ED" w:rsidRPr="001041ED" w:rsidTr="001041E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spacing w:after="0" w:line="328" w:lineRule="atLeast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  <w:r w:rsidRPr="001041ED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spacing w:after="0" w:line="328" w:lineRule="atLeast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пунктов части 1 статьи 20 Федерального закона № 214-ФЗ от 30.12.2004г.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spacing w:after="0" w:line="328" w:lineRule="atLeast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ru-RU"/>
              </w:rPr>
              <w:t>Информация о застройщике</w:t>
            </w:r>
          </w:p>
        </w:tc>
      </w:tr>
      <w:tr w:rsidR="001041ED" w:rsidRPr="001041ED" w:rsidTr="001041E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spacing w:after="0" w:line="328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spacing w:after="0" w:line="328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t>О фирменном наименовании, месте нахождения застройщика, о режиме работы застройщика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spacing w:after="0" w:line="328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t>Закрытое акционерное общество ОСК «Объединенная Строительная Компания»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lang w:eastAsia="ru-RU"/>
              </w:rPr>
              <w:t> 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br/>
              <w:t>Адрес местонахождения: 109147, г. Москва, ул. Таганская, д.32/1 стр. 17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lang w:eastAsia="ru-RU"/>
              </w:rPr>
              <w:t> 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br/>
              <w:t>Режим работы: с 9-30 до 18-15</w:t>
            </w:r>
          </w:p>
        </w:tc>
      </w:tr>
      <w:tr w:rsidR="001041ED" w:rsidRPr="001041ED" w:rsidTr="001041E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spacing w:after="0" w:line="328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spacing w:after="0" w:line="328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t>О государственной регистрации застройщика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spacing w:after="0" w:line="328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t>Зарегистрировано 13.12.1995г. в Московской регистрационной палате за № 001.150.344 Свидетельство о внесении записи в Единый государственный реестр юридических лиц о юридическом лице, зарегистрированном до 1 июля 2002 года, выдано 12 ноября 2002г. Межрайонной инспекцией МНС России № 39 по г. Москве с основным государственным регистрационным номером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lang w:eastAsia="ru-RU"/>
              </w:rPr>
              <w:t> 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br/>
              <w:t>(ОГРН)1027739539190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lang w:eastAsia="ru-RU"/>
              </w:rPr>
              <w:t> 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br/>
              <w:t>ИНН/КПП 7734117340/774501001</w:t>
            </w:r>
          </w:p>
        </w:tc>
      </w:tr>
      <w:tr w:rsidR="001041ED" w:rsidRPr="001041ED" w:rsidTr="001041E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spacing w:after="0" w:line="328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spacing w:after="0" w:line="328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t>Об акционерах застройщика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spacing w:after="0" w:line="328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t>1. Депозитарная компания «Уралсиб» - 80 %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lang w:eastAsia="ru-RU"/>
              </w:rPr>
              <w:t> 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br/>
              <w:t>(номинальная держатель)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lang w:eastAsia="ru-RU"/>
              </w:rPr>
              <w:t> 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br/>
              <w:t>2. ООО «ОСК» - 15 %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lang w:eastAsia="ru-RU"/>
              </w:rPr>
              <w:t> 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br/>
              <w:t>3. Близнюк Д.В.- 5 %</w:t>
            </w:r>
          </w:p>
        </w:tc>
      </w:tr>
      <w:tr w:rsidR="001041ED" w:rsidRPr="001041ED" w:rsidTr="001041E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spacing w:after="0" w:line="328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spacing w:after="0" w:line="328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t>О проектах строительства многоквартирных домов и (или) иных объектов недвижимости, в которых принимал участие застройщик в течении трех лет, предшествующих опубликованию проектной декларации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spacing w:after="0" w:line="328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t>Участие в строительстве следующих объектов: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lang w:eastAsia="ru-RU"/>
              </w:rPr>
              <w:t> 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br/>
              <w:t>- Северное Измайлово, мкр. 51-52, корп. И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lang w:eastAsia="ru-RU"/>
              </w:rPr>
              <w:t> 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br/>
              <w:t>- М.О., г. Одинцово, мкр. 5, корп. 10, 11А, 11В, ИВ, С-4, С-5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lang w:eastAsia="ru-RU"/>
              </w:rPr>
              <w:t> 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br/>
              <w:t>- М.О., г. Одинцово, ул. Верхнее-Пролетарская, д.8, корп. 2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lang w:eastAsia="ru-RU"/>
              </w:rPr>
              <w:t> 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br/>
              <w:t>- М.О., г. Щербинка, ул. Спортивная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lang w:eastAsia="ru-RU"/>
              </w:rPr>
              <w:t> 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br/>
              <w:t>- М.О., г. Железнодорожный, корп. 9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lang w:eastAsia="ru-RU"/>
              </w:rPr>
              <w:t> 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br/>
              <w:t>- М.О., г. Электросталь, Ногинское шоссе, 14А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lang w:eastAsia="ru-RU"/>
              </w:rPr>
              <w:t> 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br/>
              <w:t>- Борисовские пруды, корп. 6, 7, 8, 10, 12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lang w:eastAsia="ru-RU"/>
              </w:rPr>
              <w:t> 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br/>
              <w:t>- Свиблово, мкр. 27, корп. 54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lang w:eastAsia="ru-RU"/>
              </w:rPr>
              <w:t> 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br/>
              <w:t>- ул. Высокая, вл. 7, вл. 2-4, вл. 8-12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lang w:eastAsia="ru-RU"/>
              </w:rPr>
              <w:t> 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br/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lastRenderedPageBreak/>
              <w:t>- М.О., Красногорский район, поселок «Березовая роща»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lang w:eastAsia="ru-RU"/>
              </w:rPr>
              <w:t> 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br/>
              <w:t>- ул. Ялтинская, вл.2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lang w:eastAsia="ru-RU"/>
              </w:rPr>
              <w:t> 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br/>
              <w:t>- Проспект Вернадского, вл. 78, корп. 1, 2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lang w:eastAsia="ru-RU"/>
              </w:rPr>
              <w:t> 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br/>
              <w:t>- ул. Камчатская, вл. 4, корп. 3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lang w:eastAsia="ru-RU"/>
              </w:rPr>
              <w:t> 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br/>
              <w:t>- Свиблово, мкр. 23, корпус 55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lang w:eastAsia="ru-RU"/>
              </w:rPr>
              <w:t> 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br/>
              <w:t>- ул. 4-ая Гражданская, вл. 36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lang w:eastAsia="ru-RU"/>
              </w:rPr>
              <w:t> 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br/>
              <w:t>- Мичуринский проспект, вл. 6, корпус «В»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lang w:eastAsia="ru-RU"/>
              </w:rPr>
              <w:t> 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br/>
              <w:t>- Северное Медведково, мкр. 10-10А, корп. 11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lang w:eastAsia="ru-RU"/>
              </w:rPr>
              <w:t> 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br/>
              <w:t>- М.О., г. Люберцы, 115 кв., корпус 39 А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lang w:eastAsia="ru-RU"/>
              </w:rPr>
              <w:t> 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br/>
              <w:t>- М.О., г. Одинцово, мкр. «Верхнее Отрадное», ул. Маршала Бирюзова, корпус 1,2,3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lang w:eastAsia="ru-RU"/>
              </w:rPr>
              <w:t> 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br/>
              <w:t>- Химкинский р-н, пос. Планерная, к. 1, 2, 9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lang w:eastAsia="ru-RU"/>
              </w:rPr>
              <w:t> 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br/>
              <w:t>- М.О., г. Балашиха, мкр. 22, корпус 5,8, 17 а, б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lang w:eastAsia="ru-RU"/>
              </w:rPr>
              <w:t> 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br/>
              <w:t>- М.О., г. Подольск, ул. Профсоюзная, вл. 7, к.2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lang w:eastAsia="ru-RU"/>
              </w:rPr>
              <w:t> 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br/>
              <w:t>- М.О., Красногорский р-н, Павшинская пойма (1-ая, 2-ая очередь застройки)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lang w:eastAsia="ru-RU"/>
              </w:rPr>
              <w:t> 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br/>
              <w:t>- Москва, ЮАО, район «Москворечье-Сабурово», ул. Борисовские пруды, корп. №1АБ.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lang w:eastAsia="ru-RU"/>
              </w:rPr>
              <w:t> 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br/>
              <w:t>- Москва, Дубнинская ул., вл. 20-22, мкр. 13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lang w:eastAsia="ru-RU"/>
              </w:rPr>
              <w:t> 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br/>
              <w:t>- Москва, ЮАО, р-н «Марьино», ул. Братиславская, вл. 2-4.</w:t>
            </w:r>
          </w:p>
        </w:tc>
      </w:tr>
      <w:tr w:rsidR="001041ED" w:rsidRPr="001041ED" w:rsidTr="001041E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spacing w:after="0" w:line="328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spacing w:after="0" w:line="328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t>О виде лицензируемой деятельности, номере лицензии, сроке ее действия, об органе, выдавшем эту лицензию, если вид деятельности подлежит  лицензированию в соответствии с федеральным законом и связан с осуществлением застройщиком деятельности по привлечению денежных средств участников долевого строительства для строительства (создания) многоквартирных домов и (или) иных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spacing w:after="0" w:line="328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t>Лицензируемая деятельность отсутствует</w:t>
            </w:r>
          </w:p>
        </w:tc>
      </w:tr>
      <w:tr w:rsidR="001041ED" w:rsidRPr="001041ED" w:rsidTr="001041E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spacing w:after="0" w:line="328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spacing w:after="0" w:line="328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t xml:space="preserve">О величине собственных денежных 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lastRenderedPageBreak/>
              <w:t>средств, финансовом результате текущего года, размере кредиторской задолженности на день опубликования проектной декларации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numPr>
                <w:ilvl w:val="0"/>
                <w:numId w:val="1"/>
              </w:numPr>
              <w:spacing w:after="0" w:line="328" w:lineRule="atLeast"/>
              <w:ind w:left="0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lastRenderedPageBreak/>
              <w:t xml:space="preserve">Собственные денежные средства – 10 462 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lastRenderedPageBreak/>
              <w:t>719 тыс. руб.</w:t>
            </w:r>
          </w:p>
          <w:p w:rsidR="001041ED" w:rsidRPr="001041ED" w:rsidRDefault="001041ED" w:rsidP="001041ED">
            <w:pPr>
              <w:numPr>
                <w:ilvl w:val="0"/>
                <w:numId w:val="1"/>
              </w:numPr>
              <w:spacing w:after="0" w:line="328" w:lineRule="atLeast"/>
              <w:ind w:left="0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t>Убыток – 28 238 тыс руб.</w:t>
            </w:r>
          </w:p>
          <w:p w:rsidR="001041ED" w:rsidRPr="001041ED" w:rsidRDefault="001041ED" w:rsidP="001041ED">
            <w:pPr>
              <w:numPr>
                <w:ilvl w:val="0"/>
                <w:numId w:val="1"/>
              </w:numPr>
              <w:spacing w:after="0" w:line="328" w:lineRule="atLeast"/>
              <w:ind w:left="0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t>Кредиторская задолженность – 419 753 тыс. руб.</w:t>
            </w:r>
          </w:p>
          <w:p w:rsidR="001041ED" w:rsidRPr="001041ED" w:rsidRDefault="001041ED" w:rsidP="001041ED">
            <w:pPr>
              <w:spacing w:after="0" w:line="328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t>( по состоянию на 31.03.2009 года)</w:t>
            </w:r>
          </w:p>
        </w:tc>
      </w:tr>
    </w:tbl>
    <w:p w:rsidR="001041ED" w:rsidRPr="001041ED" w:rsidRDefault="001041ED" w:rsidP="00104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1ED">
        <w:rPr>
          <w:rFonts w:ascii="Tahoma" w:eastAsia="Times New Roman" w:hAnsi="Tahoma" w:cs="Tahoma"/>
          <w:i/>
          <w:iCs/>
          <w:color w:val="000000"/>
          <w:sz w:val="23"/>
          <w:szCs w:val="23"/>
          <w:shd w:val="clear" w:color="auto" w:fill="FFFFFF"/>
          <w:lang w:eastAsia="ru-RU"/>
        </w:rPr>
        <w:lastRenderedPageBreak/>
        <w:br/>
        <w:t>ΙΙ. Информация о проекте строительства жилого дома с нежилыми помещениями «Д-36» в г. Троицк  МО</w:t>
      </w:r>
      <w:r w:rsidRPr="001041ED">
        <w:rPr>
          <w:rFonts w:ascii="Tahoma" w:eastAsia="Times New Roman" w:hAnsi="Tahoma" w:cs="Tahoma"/>
          <w:color w:val="000000"/>
          <w:sz w:val="23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1"/>
        <w:gridCol w:w="4241"/>
        <w:gridCol w:w="4683"/>
      </w:tblGrid>
      <w:tr w:rsidR="001041ED" w:rsidRPr="001041ED" w:rsidTr="001041E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spacing w:after="0" w:line="328" w:lineRule="atLeast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  <w:r w:rsidRPr="001041ED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spacing w:after="0" w:line="328" w:lineRule="atLeast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пунктов части 1 статьи 20 Федерального закона № 214-ФЗ от 30.12.2004г.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spacing w:after="0" w:line="328" w:lineRule="atLeast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ru-RU"/>
              </w:rPr>
              <w:t>Информация о проекте строительства</w:t>
            </w:r>
          </w:p>
        </w:tc>
      </w:tr>
      <w:tr w:rsidR="001041ED" w:rsidRPr="001041ED" w:rsidTr="001041E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spacing w:after="0" w:line="328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spacing w:after="0" w:line="328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t>О цели проекта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spacing w:after="0" w:line="328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t>Строительство 17-ти этажного 2-х секционного жилого дома с нежилыми помещениями на первом этаже и в подвале и на 176 квартир в жилой части дома.</w:t>
            </w:r>
          </w:p>
        </w:tc>
      </w:tr>
      <w:tr w:rsidR="001041ED" w:rsidRPr="001041ED" w:rsidTr="001041E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spacing w:after="0" w:line="328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spacing w:after="0" w:line="328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t>Об этапах и сроках его реализации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spacing w:after="0" w:line="328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t>Срок строительства: июнь 2009 года – май 2011 года.</w:t>
            </w:r>
          </w:p>
        </w:tc>
      </w:tr>
      <w:tr w:rsidR="001041ED" w:rsidRPr="001041ED" w:rsidTr="001041E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spacing w:after="0" w:line="328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spacing w:after="0" w:line="328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t>О результатах государственной экспертизы проектной документации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spacing w:after="0" w:line="328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t>Положительное заключение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lang w:eastAsia="ru-RU"/>
              </w:rPr>
              <w:t> 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br/>
              <w:t>Государственной экспертизы № 50-1-4-0231-09 от 15.04.2009 года</w:t>
            </w:r>
          </w:p>
        </w:tc>
      </w:tr>
      <w:tr w:rsidR="001041ED" w:rsidRPr="001041ED" w:rsidTr="001041E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spacing w:after="0" w:line="328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spacing w:after="0" w:line="328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t>О разрешении на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spacing w:after="0" w:line="328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t>№ RU 50305000 - 112, выдано Администрацией г. Троицка Московской обл. 08.06.2009 г.</w:t>
            </w:r>
          </w:p>
        </w:tc>
      </w:tr>
      <w:tr w:rsidR="001041ED" w:rsidRPr="001041ED" w:rsidTr="001041E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spacing w:after="0" w:line="328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spacing w:after="0" w:line="328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t>О правах застройщика на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spacing w:after="0" w:line="328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t>Договор краткосрочной аренды земельного участка № 08060101 от 01.06.2008 г  (кадастровый №50:54:010103:0074), договор  уступки прав аренды земельного участка № 14 от 01.06.2008 г.</w:t>
            </w:r>
          </w:p>
        </w:tc>
      </w:tr>
      <w:tr w:rsidR="001041ED" w:rsidRPr="001041ED" w:rsidTr="001041E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spacing w:after="0" w:line="328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spacing w:after="0" w:line="328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t>О собственнике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spacing w:after="0" w:line="328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t>Российская Федерация</w:t>
            </w:r>
          </w:p>
        </w:tc>
      </w:tr>
      <w:tr w:rsidR="001041ED" w:rsidRPr="001041ED" w:rsidTr="001041E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spacing w:after="0" w:line="328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spacing w:after="0" w:line="328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t>О границах и площади земельного участка по проекту, предусмотренных проектной документацией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spacing w:after="0" w:line="328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t>Земельный участок с кадастровым № 50:54:010103:0074 площадью 5225,5 кв.м. расположен в центральной части города, на пересечении улицы Солнечная и Октябрьского проспекта. С северо-востока и северо-запада граничит с участками , на которых расположены объекты Больницы РАН, с юго-запада с землями гослесфонда, с юго-востока с Октябрьским проспектом.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lang w:eastAsia="ru-RU"/>
              </w:rPr>
              <w:t> 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br/>
              <w:t>Границы участка: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lang w:eastAsia="ru-RU"/>
              </w:rPr>
              <w:t> 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br/>
            </w:r>
          </w:p>
          <w:p w:rsidR="001041ED" w:rsidRPr="001041ED" w:rsidRDefault="001041ED" w:rsidP="001041ED">
            <w:pPr>
              <w:numPr>
                <w:ilvl w:val="0"/>
                <w:numId w:val="2"/>
              </w:numPr>
              <w:spacing w:after="0" w:line="368" w:lineRule="atLeast"/>
              <w:ind w:left="0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t>С северо-востока – земли Больницы РАН</w:t>
            </w:r>
          </w:p>
          <w:p w:rsidR="001041ED" w:rsidRPr="001041ED" w:rsidRDefault="001041ED" w:rsidP="001041ED">
            <w:pPr>
              <w:numPr>
                <w:ilvl w:val="0"/>
                <w:numId w:val="2"/>
              </w:numPr>
              <w:spacing w:after="0" w:line="368" w:lineRule="atLeast"/>
              <w:ind w:left="0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lastRenderedPageBreak/>
              <w:t>С северо-запада – земли Больницы РАН</w:t>
            </w:r>
          </w:p>
          <w:p w:rsidR="001041ED" w:rsidRPr="001041ED" w:rsidRDefault="001041ED" w:rsidP="001041ED">
            <w:pPr>
              <w:numPr>
                <w:ilvl w:val="0"/>
                <w:numId w:val="2"/>
              </w:numPr>
              <w:spacing w:after="0" w:line="368" w:lineRule="atLeast"/>
              <w:ind w:left="0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t>С юго-запада – земли Гослесфонда</w:t>
            </w:r>
          </w:p>
          <w:p w:rsidR="001041ED" w:rsidRPr="001041ED" w:rsidRDefault="001041ED" w:rsidP="001041ED">
            <w:pPr>
              <w:numPr>
                <w:ilvl w:val="0"/>
                <w:numId w:val="2"/>
              </w:numPr>
              <w:spacing w:after="0" w:line="368" w:lineRule="atLeast"/>
              <w:ind w:left="0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t>С Юго-востока – Октябрьский проспект</w:t>
            </w:r>
          </w:p>
        </w:tc>
      </w:tr>
      <w:tr w:rsidR="001041ED" w:rsidRPr="001041ED" w:rsidTr="001041E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spacing w:after="0" w:line="328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spacing w:after="0" w:line="328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t>Об элементах благоустройства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spacing w:after="0" w:line="328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ru-RU"/>
              </w:rPr>
              <w:t>Выполнение проекта комплексного озеленения и благоустройства на отводимой территории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lang w:eastAsia="ru-RU"/>
              </w:rPr>
              <w:t> 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br/>
              <w:t>Проектом благоустройства предусмотрено: озеленение, спортивная площадка, детская площадка, круговой проезд с тротуарами, автостоянки на 154м/м, площадка для хранения контейнеров для мусора, установка малых форм.</w:t>
            </w:r>
          </w:p>
        </w:tc>
      </w:tr>
      <w:tr w:rsidR="001041ED" w:rsidRPr="001041ED" w:rsidTr="001041E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spacing w:after="0" w:line="328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spacing w:after="0" w:line="328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t>О местоположении строящихся (создаваемых) многоквартирного дома и (или) иного объекта недвижимости и об их описании, подготовленном в соответствии с проектной  документацией, на основании которой выдано разрешение  на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spacing w:after="0" w:line="328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t>Московская область, г. Троицк, Октябрьский  пр-т, д.3, мкр. «Д», территория больницы РАН</w:t>
            </w:r>
          </w:p>
        </w:tc>
      </w:tr>
      <w:tr w:rsidR="001041ED" w:rsidRPr="001041ED" w:rsidTr="001041E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spacing w:after="0" w:line="328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spacing w:after="0" w:line="328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t>О  количестве  в составе строящихся (создаваемых)  многоквартирного дома и (или) иного объекта недвижимости самостоятельных частей (квартир в многоквартирном доме, гаражей и иных объектов недвижимости), передаваемых участникам долевого строительства застройщиком после получения разрешения на ввод в эксплуатацию многоквартирного дома и (или) иного объекта недвижимости, а также об описании технических характеристик указанных самостоятельных частей в соответствии с проектной документацией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spacing w:after="0" w:line="328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t>Двухсекционный 17-и этажный жилой дом с встроенными нежилыми помещениями на первом этаже и подвале и на 176 квартир в жилой части дома.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lang w:eastAsia="ru-RU"/>
              </w:rPr>
              <w:t> 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br/>
              <w:t>На первом этаже находятся: нежилые помещения без конкретной технологии, электрощитовая жилой части и электрощитовые нежилых помещений, входная группа в жилую часть, входные группы в нежилые помещения, лифтовые холлы. В каждой секции запроектировано по 2 лифта грузоподъемностью 420 кг и 1000 кг.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lang w:eastAsia="ru-RU"/>
              </w:rPr>
              <w:t> 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br/>
              <w:t>В подвале запроектированы нежилые помещения свободного назначения с отдельными входами и санузлами, узлы ввода инженерных коммуникаций с узлами учета.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lang w:eastAsia="ru-RU"/>
              </w:rPr>
              <w:t> 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br/>
              <w:t>Также имеется верхний технический этаж, где расположено оборудование лифтов и проходят инженерные коммуникации.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lang w:eastAsia="ru-RU"/>
              </w:rPr>
              <w:t> 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br/>
              <w:t>Общая площадь квартир – 11 564,8м2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lang w:eastAsia="ru-RU"/>
              </w:rPr>
              <w:t> 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br/>
              <w:t>Общая площадь нежилых помещений – 1 079,39м2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lang w:eastAsia="ru-RU"/>
              </w:rPr>
              <w:t> 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br/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lastRenderedPageBreak/>
              <w:t>Доля Инвестора: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lang w:eastAsia="ru-RU"/>
              </w:rPr>
              <w:t> 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br/>
              <w:t>70%-общей жилой площади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lang w:eastAsia="ru-RU"/>
              </w:rPr>
              <w:t> 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br/>
              <w:t>70%-общей площади в нежилых помещениях</w:t>
            </w:r>
          </w:p>
        </w:tc>
      </w:tr>
      <w:tr w:rsidR="001041ED" w:rsidRPr="001041ED" w:rsidTr="001041E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spacing w:after="0" w:line="328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lastRenderedPageBreak/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spacing w:after="0" w:line="328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t>О функциональном назначении нежилых помещений в многоквартирном доме, не входящих в состав общего имущества в многоквартирном доме, если строящимся (создаваемым) объектом недвижимости является многоквартирный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spacing w:after="0" w:line="328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t>На первом этаже и в подвале располагаются помещения без конкретной технологии.</w:t>
            </w:r>
          </w:p>
        </w:tc>
      </w:tr>
      <w:tr w:rsidR="001041ED" w:rsidRPr="001041ED" w:rsidTr="001041E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spacing w:after="0" w:line="328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spacing w:after="0" w:line="328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t>О составе общего имущества в многоквартирном доме и (или) ином объекте недвижимости,    которое будет находиться в общей долевой собственности участников долевого строительства после получения разрешения на ввод в эксплуатацию указанных объектов недвижимости и передачи объектов долевого строительства участникам долевого строительства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spacing w:after="0" w:line="328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t>Помещения общего пользования неразрывно связанные с жизнеобеспечением здания (лестничные клетки, лифтовые холлы, лифтовые шахты, машинные помещения, электрощитовые, помещения охраны, технические помещения, помещения ТП и т.д.)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lang w:eastAsia="ru-RU"/>
              </w:rPr>
              <w:t> </w:t>
            </w:r>
          </w:p>
        </w:tc>
      </w:tr>
      <w:tr w:rsidR="001041ED" w:rsidRPr="001041ED" w:rsidTr="001041E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spacing w:after="0" w:line="328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spacing w:after="0" w:line="328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t>О предполагаемом сроке получения разрешения на ввод в эксплуатацию строящихся (создаваемых) многоквартирного дома и (или) иного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spacing w:after="0" w:line="328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t>Предполагаемый срок получения разрешения на ввод объекта в эксплуатацию – II квартал 2011 года</w:t>
            </w:r>
          </w:p>
        </w:tc>
      </w:tr>
      <w:tr w:rsidR="001041ED" w:rsidRPr="001041ED" w:rsidTr="001041E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spacing w:after="0" w:line="328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spacing w:after="0" w:line="328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t>О перечне органов государственной власти, органов местного самоуправления и организаций, представители которых участвуют в приемке указанных многоквартирного дома и (или) иного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spacing w:after="0" w:line="328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t>Администрация г. Троицка, ИГАСН г. Троицка, Больница РАН</w:t>
            </w:r>
          </w:p>
        </w:tc>
      </w:tr>
      <w:tr w:rsidR="001041ED" w:rsidRPr="001041ED" w:rsidTr="001041E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spacing w:after="0" w:line="328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spacing w:after="0" w:line="328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t>О возможных финансовых и прочих рисках при осуществлении проекта строительства и мерах по добровольному страхованию застройщиком таких рисков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spacing w:after="0" w:line="328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t xml:space="preserve">Финансовые риски сведены к минимуму. Собственных средств достаточно для покрытия прочих рисков. Успешное реноме генерального подрядчика и технического заказчика подтверждается многолетней успешной работой в строительном сегменте рынка, пунктуальностью и добросовестностью 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lastRenderedPageBreak/>
              <w:t>выполнения всех необходимых работ. Все согласования произведены в срок; вся разрешительная документация получена.</w:t>
            </w:r>
          </w:p>
        </w:tc>
      </w:tr>
      <w:tr w:rsidR="001041ED" w:rsidRPr="001041ED" w:rsidTr="001041E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spacing w:after="0" w:line="328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spacing w:after="0" w:line="328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t>О перечне организаций, осуществляющих основные строительно-монтажные и другие работы (подрядчиков)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ED" w:rsidRPr="001041ED" w:rsidRDefault="001041ED" w:rsidP="001041ED">
            <w:pPr>
              <w:spacing w:after="0" w:line="328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1041ED"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ru-RU"/>
              </w:rPr>
              <w:t>Генеральный подрядчик :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lang w:eastAsia="ru-RU"/>
              </w:rPr>
              <w:t> </w:t>
            </w:r>
            <w:r w:rsidRPr="001041ED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  <w:br/>
              <w:t>ООО СтройСпецСервис</w:t>
            </w:r>
          </w:p>
        </w:tc>
      </w:tr>
    </w:tbl>
    <w:p w:rsidR="002421FC" w:rsidRDefault="002421FC"/>
    <w:sectPr w:rsidR="002421FC" w:rsidSect="00242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E5DD8"/>
    <w:multiLevelType w:val="multilevel"/>
    <w:tmpl w:val="05389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C15CB2"/>
    <w:multiLevelType w:val="multilevel"/>
    <w:tmpl w:val="D236E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1041ED"/>
    <w:rsid w:val="001041ED"/>
    <w:rsid w:val="00242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041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4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1370</Words>
  <Characters>7811</Characters>
  <Application>Microsoft Office Word</Application>
  <DocSecurity>0</DocSecurity>
  <Lines>65</Lines>
  <Paragraphs>18</Paragraphs>
  <ScaleCrop>false</ScaleCrop>
  <Company>Microsoft</Company>
  <LinksUpToDate>false</LinksUpToDate>
  <CharactersWithSpaces>9163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Brain</dc:creator>
  <cp:keywords/>
  <dc:description/>
  <cp:lastModifiedBy>Brain</cp:lastModifiedBy>
  <cp:revision>2</cp:revision>
  <dcterms:created xsi:type="dcterms:W3CDTF">2015-06-02T08:47:00Z</dcterms:created>
  <dcterms:modified xsi:type="dcterms:W3CDTF">2015-06-02T08:48:00Z</dcterms:modified>
</cp:coreProperties>
</file>