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B0" w:rsidRPr="00FA61B0" w:rsidRDefault="00FA61B0" w:rsidP="00FA61B0">
      <w:pPr>
        <w:shd w:val="clear" w:color="auto" w:fill="FFFFFF"/>
        <w:spacing w:before="300" w:after="150" w:line="240" w:lineRule="auto"/>
        <w:outlineLvl w:val="0"/>
        <w:rPr>
          <w:rFonts w:ascii="Lucida Sans Unicode" w:eastAsia="Times New Roman" w:hAnsi="Lucida Sans Unicode" w:cs="Lucida Sans Unicode"/>
          <w:color w:val="333333"/>
          <w:kern w:val="36"/>
          <w:sz w:val="54"/>
          <w:szCs w:val="54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kern w:val="36"/>
          <w:sz w:val="54"/>
          <w:szCs w:val="54"/>
          <w:lang w:eastAsia="ru-RU"/>
        </w:rPr>
        <w:t>Проектная декларация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Общество с ограниченной ответственностью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«</w:t>
      </w:r>
      <w:proofErr w:type="spellStart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»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br/>
        <w:t>(с изменениями на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01.08.2014)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 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jc w:val="center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г. Сергиев Посад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 августа 2014 года</w:t>
      </w:r>
    </w:p>
    <w:p w:rsidR="00FA61B0" w:rsidRPr="00FA61B0" w:rsidRDefault="00FA61B0" w:rsidP="00FA61B0">
      <w:pPr>
        <w:shd w:val="clear" w:color="auto" w:fill="FFFFFF"/>
        <w:spacing w:before="300" w:after="150" w:line="240" w:lineRule="auto"/>
        <w:outlineLvl w:val="2"/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36"/>
          <w:szCs w:val="36"/>
          <w:lang w:eastAsia="ru-RU"/>
        </w:rPr>
        <w:t>Проектная декларация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по строительству 3-х секционного 17-ти этажного жилого дома со встроенными помещениями общественного назначения на земельном участке по адресу: Московская область, Сергиево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-П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осадский муниципальный район, городское поселение Сергиев Посад, город Сергиев Посад, ул. Чайковского, уч.20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I. ИНФОРМАЦИЯ О ЗАСТРОЙЩИКЕ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1. Застройщик: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 xml:space="preserve">1.1. </w:t>
      </w:r>
      <w:proofErr w:type="gramStart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Место нахождения застройщика: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141231, Московская область, Пушкинский район, п. Лесной, ул. Пушкина, д.8б.</w:t>
      </w:r>
      <w:proofErr w:type="gramEnd"/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1.2. Режим работы застройщика: с 9.00 до 18.00 по будням. Обед с 13.00 до 14.00, суббота и воскресенье выходные. Телефон 8 (495) 730-52-90.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2. Информация о государственной регистрации Застройщика: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 зарегистрировано 11 мая 2009 года в Межрайонной инспекции Федеральной налоговой службы №3 по Московской области, внесено в Единый государственный реестр юридических лиц, Свидетельство серия 50 № 011980051, ОГРН 1095038002949, Свидетельство о постановке на учет юридического лица в налоговом органе по месту нахождения на территории Российской Федерации серия 50 № 011249538, выданное 11 мая 2009 года Межрайонной Инспекцией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ФНС России № 3 по Московской области, ИНН 5038069089, КПП 503801001.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 Информация об учредителях (участниках) Застройщика: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3.1.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Федотов Илья Михайлович – 50% доли уставного капитала.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3.2.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Челидзе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Эльдар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Джумберович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– 50% доли уставного капитала.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4. Информация о проектах строительства объектов недвижимости, в которых принимал участие Застройщик в течение трех лет, предшествующих опубликования проектной декларации: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ООО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» является Застройщиком жилого дома со встроенным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офисно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- медицинским учреждением терапевтического назначения по адресу: 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>Московская область, г. Пушкино, ул. Набережная, в районе дома 3, разрешение на строительство №RU50522107-33/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Ю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выдано Администрацией Пушкинского муниципального района Московской области 07 июля 2011 года. Окончание строительства: IV квартал 2014 г.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5. Информация о виде лицензируемой деятельности, номере лицензии, сроке ее действия, об органе, выдавшем лицензию, если вид деятельности подлежит лицензированию в соответствии с федеральным законом: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» не осуществляет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деятельность, подлежащую лицензированию и соответствующих лицензий не имеет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6. Финансово-экономическое состояние Застройщика на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30.06.2014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4"/>
        <w:gridCol w:w="2099"/>
      </w:tblGrid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Финансовый результат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125289 тыс. рублей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Размер кредиторской задолженности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155927 тыс. рублей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Размер дебиторской задолженности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226196 тыс. рублей</w:t>
            </w:r>
          </w:p>
        </w:tc>
      </w:tr>
    </w:tbl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II. ИНФОРМАЦИЯ О ПРОЕКТЕ СТРОИТЕЛЬСТВА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1. Цель проекта строительства: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Строительство 3-х секционного 17-ти этажного жилого дома со встроенными помещениями общественного назначения на земельном участке по адресу: Московская область, Сергиево Посадский муниципальный район, городское поселение Сергиев Посад, город Сергиев Посад, ул. Чайковского, уч.20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Этапы строительства: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Начало строительства: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I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квартал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2012 г.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Окончание строительства: II квартал 2014 г.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Результаты проведения государственной экспертизы проектной документации: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Положительное заключение № 50-1-4-1723-11 выдано Государственным автономным учреждением Московской области «Московская областная государственная экспертиза» 23 декабря 2011 года.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2. Информация о разрешении на строительство: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Разрешение на строительство №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RU50512104-70 выдано: Муниципальным образованием «Городское поселение Сергиев Посад»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Сергиево–Посадского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муниципального района Московской области 19 апреля 2012 года.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Срок действия разрешения на строительство до 25 июня 2014 года.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 Права Застройщика на земельный участок: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3.1. Земельный участок под строительство жилого дома принадлежит Обществу с ограниченной ответственностью «</w:t>
      </w:r>
      <w:proofErr w:type="spellStart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» на следующих основаниях: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 xml:space="preserve">3.1.1. Договора аренды земельного участка №ДЗ-452 от 15 мая 2009 года, заключенного между Администрацией Сергиево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-П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осадского муниципального района и ЗАО «Московская областная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инвестиционно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- строительная компания», зарегистрированного в Управлении Федеральной службы государственной регистрации, кадастра и картографии по Московской области 20 сентября 2010 года за №50-50-05/095/2010-372;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Договора уступки прав и обязанностей (перенайма) по договору аренды земельного участка №ДЗ-452 от 15 мая 2009 г., заключенного 12 октября 2010 года между ЗАО «Московская областная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инвестиционно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- строительная компания» и ООО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», зарегистрированного в Управлении Федеральной службы государственной регистрации, кадастра и картографии по Московской области 19.11.2010 года за № 50-50-05/145/2010-378, согласно которому ООО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АльфаБест-Пушкино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» приняло все права и обязанности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по Договору аренды земельного участка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Строящийся Многоквартирный жилой дом расположен на земельном участке с кадастровым номером № 50:05:0070202:16, площадью 6760 (Шесть тысяч семьсот шестьдесят) кв.м. по адресу: Московская область, Сергиево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-П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осадский муниципальный район, городское поселение Сергиев Посад, г. Сергиев Посад, ул. Чайковского, уч.20.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Собственник земельного участка: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Государственная собственность.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3.2. Границы земельного участка: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Расположен земельный участок в северной части города Сергиев Посад на пересечение ул. Чайковского и Троицкого бульвара, граничит:</w:t>
      </w:r>
    </w:p>
    <w:p w:rsidR="00FA61B0" w:rsidRPr="00FA61B0" w:rsidRDefault="00FA61B0" w:rsidP="00FA6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юга – ул. Чайковского и далее с территорией многоэтажной застройки,</w:t>
      </w:r>
    </w:p>
    <w:p w:rsidR="00FA61B0" w:rsidRPr="00FA61B0" w:rsidRDefault="00FA61B0" w:rsidP="00FA6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запада – со свободной территорией и далее территорией ЦРБ и Новгородским переулком,</w:t>
      </w:r>
    </w:p>
    <w:p w:rsidR="00FA61B0" w:rsidRPr="00FA61B0" w:rsidRDefault="00FA61B0" w:rsidP="00FA6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 востока – с Троицким бульваром,</w:t>
      </w:r>
    </w:p>
    <w:p w:rsidR="00FA61B0" w:rsidRPr="00FA61B0" w:rsidRDefault="00FA61B0" w:rsidP="00FA61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с севера – со свободной территорией и далее ул.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Владимирская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3.3. Общая площадь земельного участка под строительство составляет 6760 (Шесть тысяч семьсот шестьдесят) кв.м. Земельный участок расположен по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адресу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:М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осковская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область, Сергиево-Посадский муниципальный район, городское поселение Сергиев Посад, г. Сергиев Посад, ул. Чайковского, уч.20.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3.4. Элементы благоустройства: проектом предусмотрено комплексное благоустройство территории с устройством площадок для игр детей, для отдыха взрослых, занятия спортом, хозяйственной и для выгула собак и площадки для размещения мусорных контейнеров.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4. Местоположение строящегося жилого дома: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Строящийся дом расположен на земельном участке по адресу: Московская область, Сергиево-Посадский муниципальный район, городское поселение Сергиев Посад, г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.С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ергиев Посад, ул. Чайковского, уч.20.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lastRenderedPageBreak/>
        <w:t>5. Основные количественные показатели по возводимому жилому дому (зданию):</w:t>
      </w:r>
    </w:p>
    <w:p w:rsidR="00FA61B0" w:rsidRPr="00FA61B0" w:rsidRDefault="00FA61B0" w:rsidP="00FA61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Общая площадь объектов (здания) 27080,20 кв.м.;</w:t>
      </w:r>
      <w:proofErr w:type="gramEnd"/>
    </w:p>
    <w:p w:rsidR="00FA61B0" w:rsidRPr="00FA61B0" w:rsidRDefault="00FA61B0" w:rsidP="00FA61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Строительный объем здания, в т.ч. подземной части 79925,91 куб.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м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.;</w:t>
      </w:r>
    </w:p>
    <w:p w:rsidR="00FA61B0" w:rsidRPr="00FA61B0" w:rsidRDefault="00FA61B0" w:rsidP="00FA61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Строительный объем подземной части 3638,52 куб.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м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.;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6. Количество в составе строящегося жилого дома самостоятельных частей (квартир, гаражей и иных объектов недвижимости), подлежащих передаче Застройщиком участникам долевого строительства после получения разрешения на ввод в эксплуатацию: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Всего 376 квартир общей площадью (с учетом балконов и лоджий) 18208,88 кв.м.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Общая площадь помещений общественного назначения 676,49 кв.м.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Из них: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1"/>
        <w:gridCol w:w="1497"/>
        <w:gridCol w:w="1559"/>
        <w:gridCol w:w="4668"/>
      </w:tblGrid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Тип квартиры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Кол-во квартир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Общая площадь</w:t>
            </w:r>
          </w:p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кв.м.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Общая площадь (с учетом балконов и лоджий) кв.м.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28,59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30,33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28,59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30,75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28,88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30,62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28,88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31,04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32,41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34,67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студия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32,42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34,68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45,87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46,21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47,03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однокомнатная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47,37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45,29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45,92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42,95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46,65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46,92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47,26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43,69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47,47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57,78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59,7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57,78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59,77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lastRenderedPageBreak/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58,17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60,09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58,17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60,16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67,33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67,32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67,43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67,73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67,83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двухкомнатная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65,99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67,97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69,87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72,37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70,81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73,31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69,71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76,5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70,76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77,54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94,00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99,19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трехкомнатная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94,55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99,74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60,08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75,30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161,44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97,55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59,98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146,66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A61B0" w:rsidRPr="00FA61B0" w:rsidTr="00FA61B0"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НЖ 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75,48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B0" w:rsidRPr="00FA61B0" w:rsidRDefault="00FA61B0" w:rsidP="00FA61B0">
            <w:pPr>
              <w:spacing w:after="150" w:line="300" w:lineRule="atLeast"/>
              <w:jc w:val="center"/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</w:pPr>
            <w:r w:rsidRPr="00FA61B0">
              <w:rPr>
                <w:rFonts w:ascii="Lucida Sans Unicode" w:eastAsia="Times New Roman" w:hAnsi="Lucida Sans Unicode" w:cs="Lucida Sans Unicode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 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7. Функциональное назначение нежилых помещений в строящемся жилом доме не входящих в состав общего имущества: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Офисные помещения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8. Состав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объекта в эксплуатацию и передаче объектов долевого строительства участникам долевого строительства: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8.1. Технический этаж с помещениями для оборудования, обеспечивающего техническое обслуживание многоквартирного дома.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8.2. Машинные помещения лифтов.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 xml:space="preserve">8.3. Технический этаж (с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венткамерами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).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8.4.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Электрощитовые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8.5. Диспетчерский пункт.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8.6. Поэтажные коридоры.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8.7. Лестнично-лифтовые узлы (с площадками, тамбурами, воздушными зонами).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8.8. Вестибюльные группы подъездов (с помещениями и тамбурами).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8.9. Подвал (с техническими помещениями).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8.10. Крыльца и пандусы.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8.11. Придомовая территория (с благоустройством и сооружениями).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9. Предполагаемый срок получения разрешения на ввод в эксплуатацию строящегося жилого дома: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III квартал 2014 года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10. Перечень органов государственной власти, органов местного самоуправления и организаций, представители которых участвуют в приемке жилого дома: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Администрация Сергиево-Посадского района МО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Администрация города Сергиев Посад МО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Главное управление архитектуры и градостроительства МО и другие.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11. Возможные финансовые и прочие риски при осуществлении проекта строительства и ориентировочная стоимость строительства: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возможное повышение цен на строительные материалы и субподрядные работы;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- ориентировочная стоимость строительства 676427538 (Шестьсот семьдесят шесть миллионов четыреста двадцать семь тысяч пятьсот тридцать восемь) рублей 00 копеек.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12. Сведения о договорах, на основании которых привлекаются денежные средства для строительства многоквартирного дома, за исключением привлечения денежных средств на основании договоров о долевом строительстве: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Денежные средства на строительство многоквартирного дома привлекаются по договорам долевого участия в строительстве.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Меры по добровольному страхованию застройщиком таких рисков не принимались.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13. Перечень организаций, осуществляющих основные строительно-монтажные и другие работы: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Генеральный подрядчик: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Общество с ограниченной ответственностью «КОМПАНИЯ ПРОМСЕРВИС»,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117556, г. Москва, Варшавское шоссе, д.75, корп.1, ИНН 7733507718,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lastRenderedPageBreak/>
        <w:t xml:space="preserve">Свидетельство № 0095.03-2009-7733507718-С-035 о допуске к определенному виду или видам работ, которые оказывают влияние на безопасность объектов капитального строительства, вступило в действие с 03 марта 2011 года, выдано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саморегулируемой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организацией, основанной на членстве лиц, осуществляющих строительство Некоммерческим партнерством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Саморегулируемая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организация «Союз строителей Московской области «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Мособлстройкомплекс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», 141700, Россия, Московская область, г. Долгопрудный, проспект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Пацаева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, д.7, корп.10, регистрационный номер в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государственном </w:t>
      </w:r>
      <w:proofErr w:type="gram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реестре</w:t>
      </w:r>
      <w:proofErr w:type="gram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</w:t>
      </w:r>
      <w:proofErr w:type="spellStart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саморегулируемых</w:t>
      </w:r>
      <w:proofErr w:type="spellEnd"/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 xml:space="preserve"> организаций: СРО-С-035-09092009.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14. Способ обеспечения исполнения обязательств Застройщика по договору: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Залог в порядке, предусмотренном статьями 13 - 15 Федерального закона РФ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15.</w:t>
      </w: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lang w:eastAsia="ru-RU"/>
        </w:rPr>
        <w:t> </w:t>
      </w:r>
      <w:r w:rsidRPr="00FA61B0"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  <w:t>Иных договоров и сделок, на основании которых привлекаются денежные средства для строительства 3-х секционного 17-ти этажного жилого дома со встроенными помещениями общественного назначения на земельном участке по адресу: Московская область, Сергиево-Посадский муниципальный район, городское поселение Сергиев Посад, город Сергиев Посад, ул. Чайковского, уч.20, за исключением привлечения денежных средств на основании договоров долевого участия в строительстве не имеется.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Генеральный директор</w:t>
      </w:r>
    </w:p>
    <w:p w:rsidR="00FA61B0" w:rsidRPr="00FA61B0" w:rsidRDefault="00FA61B0" w:rsidP="00FA61B0">
      <w:pPr>
        <w:shd w:val="clear" w:color="auto" w:fill="FFFFFF"/>
        <w:spacing w:after="150" w:line="300" w:lineRule="atLeast"/>
        <w:rPr>
          <w:rFonts w:ascii="Lucida Sans Unicode" w:eastAsia="Times New Roman" w:hAnsi="Lucida Sans Unicode" w:cs="Lucida Sans Unicode"/>
          <w:color w:val="333333"/>
          <w:sz w:val="21"/>
          <w:szCs w:val="21"/>
          <w:lang w:eastAsia="ru-RU"/>
        </w:rPr>
      </w:pPr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ООО «</w:t>
      </w:r>
      <w:proofErr w:type="spellStart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АльфаБест</w:t>
      </w:r>
      <w:proofErr w:type="spellEnd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 xml:space="preserve"> - Пушкино» /</w:t>
      </w:r>
      <w:proofErr w:type="spellStart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>Саломатин</w:t>
      </w:r>
      <w:proofErr w:type="spellEnd"/>
      <w:r w:rsidRPr="00FA61B0">
        <w:rPr>
          <w:rFonts w:ascii="Lucida Sans Unicode" w:eastAsia="Times New Roman" w:hAnsi="Lucida Sans Unicode" w:cs="Lucida Sans Unicode"/>
          <w:b/>
          <w:bCs/>
          <w:color w:val="333333"/>
          <w:sz w:val="21"/>
          <w:szCs w:val="21"/>
          <w:lang w:eastAsia="ru-RU"/>
        </w:rPr>
        <w:t xml:space="preserve"> Н.М./</w:t>
      </w:r>
    </w:p>
    <w:p w:rsidR="00F937BA" w:rsidRDefault="00FA61B0"/>
    <w:sectPr w:rsidR="00F937BA" w:rsidSect="0097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178C7"/>
    <w:multiLevelType w:val="multilevel"/>
    <w:tmpl w:val="6B0E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25D2A"/>
    <w:multiLevelType w:val="multilevel"/>
    <w:tmpl w:val="B804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1B0"/>
    <w:rsid w:val="00011841"/>
    <w:rsid w:val="00172507"/>
    <w:rsid w:val="00975F30"/>
    <w:rsid w:val="00FA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30"/>
  </w:style>
  <w:style w:type="paragraph" w:styleId="1">
    <w:name w:val="heading 1"/>
    <w:basedOn w:val="a"/>
    <w:link w:val="10"/>
    <w:uiPriority w:val="9"/>
    <w:qFormat/>
    <w:rsid w:val="00FA6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6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61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A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1791</Words>
  <Characters>10213</Characters>
  <Application>Microsoft Office Word</Application>
  <DocSecurity>0</DocSecurity>
  <Lines>85</Lines>
  <Paragraphs>23</Paragraphs>
  <ScaleCrop>false</ScaleCrop>
  <Company>Computer</Company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2015-07-28T19:29:00Z</dcterms:created>
  <dcterms:modified xsi:type="dcterms:W3CDTF">2015-07-28T19:29:00Z</dcterms:modified>
</cp:coreProperties>
</file>