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BF" w:rsidRPr="00A135BF" w:rsidRDefault="00A135BF" w:rsidP="00A135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35B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A13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Проектная декларация</w:t>
      </w:r>
    </w:p>
    <w:p w:rsidR="00A135BF" w:rsidRPr="00A135BF" w:rsidRDefault="00A135BF" w:rsidP="00A135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35B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 проекте строительства жилого дома (корпус 45), расположенного по адресу:</w:t>
      </w:r>
      <w:r w:rsidRPr="00A135BF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br/>
      </w:r>
      <w:proofErr w:type="gramStart"/>
      <w:r w:rsidRPr="00A135B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г</w:t>
      </w:r>
      <w:proofErr w:type="gramEnd"/>
      <w:r w:rsidRPr="00A135B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. Санкт-Петербург, улица Кржижановского, участок 1 (севернее пересечения с ул. Латышских Стрелков); ул. Кржижановского, дом 2, корп. 2, лит. А</w:t>
      </w:r>
    </w:p>
    <w:p w:rsidR="00A135BF" w:rsidRPr="00A135BF" w:rsidRDefault="00A135BF" w:rsidP="00A135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35B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(с изменениями от 30 декабря 2012 года)</w:t>
      </w:r>
      <w:r w:rsidRPr="00A135B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I. Информация о застройщике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1.1. Фирменное наименование: Закрытое акционерное общество «</w:t>
      </w:r>
      <w:proofErr w:type="spellStart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Квартира</w:t>
      </w:r>
      <w:proofErr w:type="gramStart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.р</w:t>
      </w:r>
      <w:proofErr w:type="gramEnd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proofErr w:type="spellEnd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</w:t>
      </w:r>
      <w:proofErr w:type="spellStart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Северо-Запад</w:t>
      </w:r>
      <w:proofErr w:type="spellEnd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1.2.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gramStart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Место нахождения (юридический адрес):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117186 г. Москва, ул. Нагорная, д. 30. корп. 1.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1.2.1.</w:t>
      </w:r>
      <w:proofErr w:type="gramEnd"/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gramStart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Фактический (почтовый) адрес: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123808, г. Москва, ул. Садовая - Кудринская, д.11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1.3.</w:t>
      </w:r>
      <w:proofErr w:type="gramEnd"/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Режим работы: с 9.00 до 18.00, выходные – суббота, воскресенье.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О государственной регистрации: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ОГРН 1067746347800, запись о создании внесена в ЕГРЮЛ 06 марта 2006 года, свидетельство о государственной регистрации юридического лица серия 77 № 008273339.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Учредители (акционеры), обладающие пятью и более процентами голосов в органе управления застройщика: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- Общество с ограниченной ответственностью «Балтийский Альянс» - 73,70 % голосов;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- Общество с ограниченной ответственностью «</w:t>
      </w:r>
      <w:proofErr w:type="spell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БалтИнвестСтрой</w:t>
      </w:r>
      <w:proofErr w:type="spell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>» - 22,30 % голосов;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декларации:</w:t>
      </w:r>
    </w:p>
    <w:p w:rsidR="00A135BF" w:rsidRPr="00A135BF" w:rsidRDefault="00A135BF" w:rsidP="00A135BF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. Санкт-Петербург, ул. Латышских Стрелков, дом 15, корп. 1;</w:t>
      </w:r>
      <w:proofErr w:type="gramEnd"/>
    </w:p>
    <w:p w:rsidR="00A135BF" w:rsidRPr="00A135BF" w:rsidRDefault="00A135BF" w:rsidP="00A135BF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proofErr w:type="gram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>. Санкт-Петербург, ул. Латышских Стрелков, дом 15, корп. 2;</w:t>
      </w:r>
    </w:p>
    <w:p w:rsidR="00A135BF" w:rsidRPr="00A135BF" w:rsidRDefault="00A135BF" w:rsidP="00A135BF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proofErr w:type="gram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>. Санкт-Петербург, ул. Латышских Стрелков, дом 15, корп. 3;</w:t>
      </w:r>
    </w:p>
    <w:p w:rsidR="00A135BF" w:rsidRPr="00A135BF" w:rsidRDefault="00A135BF" w:rsidP="00A135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proofErr w:type="gram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>. Санкт-Петербург, ул. Латышских Стрелков, дом 17, корп. 1.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(создания) многоквартирных домов и (или) иных объектов недвижимости: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Лицензия</w:t>
      </w:r>
      <w:proofErr w:type="gram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 Д</w:t>
      </w:r>
      <w:proofErr w:type="gram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 875795 на осуществление строительства зданий и сооружений I и II уровней ответственности в соответствии с государственным стандартом, осуществление функций генерального подрядчика, выполнение функций заказчика-застройщика, регистрационный № ГС-1-99-02-27-0-7703583895-052933-1 от 18 июня 2007 года, срок действия – по 18 июня 2012 года, выдана Федеральным агентством по строительству и жилищно-коммунальному хозяйству.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6.1. Финансовый результат текущего года по состоянию на день опубликования проектной декларации: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- 3 613  тыс. рублей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6.2. Размер кредиторской задолженности по состоянию на день опубликования проектной декларации: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12 452  млн. рублей.</w:t>
      </w:r>
    </w:p>
    <w:p w:rsidR="00A135BF" w:rsidRPr="00A135BF" w:rsidRDefault="00A135BF" w:rsidP="00A135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 Размер дебиторской задолженности на день опубликования проектной декларации:</w:t>
      </w:r>
    </w:p>
    <w:p w:rsidR="00A135BF" w:rsidRPr="00A135BF" w:rsidRDefault="00A135BF" w:rsidP="00A135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35B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3 185 млн. рублей.</w:t>
      </w:r>
    </w:p>
    <w:p w:rsidR="00A135BF" w:rsidRPr="00A135BF" w:rsidRDefault="00A135BF" w:rsidP="00A135BF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II. Информация о проекте строительства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1.1. Цель проекта строительства: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законченный строительством многоквартирный жилой дом, в соответствии с проектной документацией;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1.2.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gramStart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Этапы реализации проекта: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1-й этап – подготовка к строительству жилого дома, 2-й этап - земляные 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работы; 3-й этап – нулевой цикл; 4-й этап – строительно-монтажные работы; 5-й этап – отделочные работы, 6-й этап – окончательные взаиморасчеты, подписание акта о реализации проекта;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1.3.</w:t>
      </w:r>
      <w:proofErr w:type="gramEnd"/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Сроки реализации проекта: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начало реализации проекта – декабрь 2011 года, окончание реализации проекта – декабрь 2012 года;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1.4. О результатах государственной экспертизы проектной документации: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положительное заключение Государственной Экспертизы службы государственного строительного надзора и экспертизы Санкт-Петербурга от 24 ноября 2011г., регистрационный номер заключения государственной экспертизы в Реестре № 78 – 1 – 4 – 0771 – 11</w:t>
      </w:r>
    </w:p>
    <w:p w:rsidR="00A135BF" w:rsidRPr="00A135BF" w:rsidRDefault="00A135BF" w:rsidP="00A135BF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 разрешении на строительство: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Разрешение на строительство № 78 - 12014320 - 2011 выдано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>19 декабря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2011 г. Службой государственного строительного надзора и экспертизы Санкт-Петербурга, действие разрешения до 31 декабря 2012 года.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shd w:val="clear" w:color="auto" w:fill="00FF0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3.1. О правах застройщика на земельный участок: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Договор аренды земельного участка на инвестиционных условиях № 13/ЗКС-03852 от 20 июня 2005 года в редакции дополнительного соглашения № 8 от 28 января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2011 г.;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3.2. Собственник земельного участка: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Санкт-Петербург;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3.3. Границы и площадь земельного участка: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площадь земельного участка (</w:t>
      </w:r>
      <w:proofErr w:type="gram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кадастровый</w:t>
      </w:r>
      <w:proofErr w:type="gramEnd"/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>№ 78:6323А:4) – 140 461,0 кв.м., площадь земельного участка (кадастровый № 78:6323А:1) –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3 974,0 кв. м.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(изменения от 20 марта 2012 года)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3.4. Элементы благоустройства: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проезды, тротуары, </w:t>
      </w:r>
      <w:proofErr w:type="spell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отмостки</w:t>
      </w:r>
      <w:proofErr w:type="spell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>, малые архитектурные формы, озеленение;</w:t>
      </w:r>
      <w:r w:rsidRPr="00A135BF">
        <w:rPr>
          <w:rFonts w:ascii="Arial" w:eastAsia="Times New Roman" w:hAnsi="Arial" w:cs="Arial"/>
          <w:color w:val="000000"/>
          <w:sz w:val="20"/>
          <w:szCs w:val="20"/>
          <w:shd w:val="clear" w:color="auto" w:fill="00FF0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shd w:val="clear" w:color="auto" w:fill="00FF0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4.1. Местоположение строящегося жилого дома: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на земельном участке, расположенном по адресу</w:t>
      </w:r>
      <w:proofErr w:type="gram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gram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>. Санкт-Петербург, ул. Кржижановского, участок 1 (севернее пересечения с ул. Латышских Стрелков);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 Кржижановского, дом 2, корп. 2, лит. А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4.2. Описание строящегося жилого дома</w:t>
      </w:r>
      <w:r w:rsidRPr="00A135BF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19, 22 этажа, подвал, технический чердак;</w:t>
      </w:r>
    </w:p>
    <w:p w:rsidR="00A135BF" w:rsidRPr="00A135BF" w:rsidRDefault="00A135BF" w:rsidP="00A135BF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5.1. Количество самостоятельных частей строящегося жилого дома: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406 квартир общей площадью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28 095,91 кв. метров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(без учета площади балконов и лоджий).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5.2. Описание технических характеристик самостоятельных частей строящегося жилого дома: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proofErr w:type="gram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>-</w:t>
      </w:r>
      <w:proofErr w:type="gram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>фундамент состоит из свайного основания и монолитной железобетонной плиты,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>-каркас из монолитного железобетона,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- наружные стены жилых этажей – газобетонные блоки с поэтажным </w:t>
      </w:r>
      <w:proofErr w:type="spell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опиранием</w:t>
      </w:r>
      <w:proofErr w:type="spell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 и с облицовкой лицевым кирпичом,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-стены и перегородки внутренние из </w:t>
      </w:r>
      <w:proofErr w:type="spell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пазогребневых</w:t>
      </w:r>
      <w:proofErr w:type="spell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 блоков и кирпича,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>-кровля плоская, рулонная, с внутренним водостоками,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>-лифты грузоподъемностью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400 кг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600 кг;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/>
      </w:r>
      <w:proofErr w:type="gramStart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жилых помещениях: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- полы с цементной стяжкой (без напольного покрытия);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- потолки - бетонная плита без отделки (без шпаклевки и без окраски), перекрытия монолитные;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- перегородки межквартирные (стены) – без отделки (без штукатурки, шпаклевки, окраски и оклейки обоями);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- перегородки санузла (между ванной комнатой и туалетом) – без отделки (без штукатурки, окраски, облицовки плиткой);</w:t>
      </w:r>
      <w:proofErr w:type="gramEnd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proofErr w:type="gram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перегородки внутриквартирные (внутренние стены) из </w:t>
      </w:r>
      <w:proofErr w:type="spell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пазогребневых</w:t>
      </w:r>
      <w:proofErr w:type="spell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 блоков, без отделки (без штукатурки, шпаклевки, окраски и оклейки обоями);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>- окна из профиля ПВХ со стеклопакетом без откосов и подоконной доски;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>- двери - только входная, без откосов и без окраски с внутренней стороны, без межкомнатных дверей;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- без </w:t>
      </w:r>
      <w:proofErr w:type="spell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сантехприборов</w:t>
      </w:r>
      <w:proofErr w:type="spell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 – без ванн, без унитазов, без умывальников, без моек;</w:t>
      </w:r>
      <w:proofErr w:type="gramEnd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proofErr w:type="gram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внутриквартирные электрические сети с внутриквартирной </w:t>
      </w:r>
      <w:proofErr w:type="spell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электроразводкой</w:t>
      </w:r>
      <w:proofErr w:type="spell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 с установкой выключателей и розеток;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>- без электрооборудования (в т.ч. без электроплит);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>- общая вертикальная однотрубная система отопления (стальные трубы) с установкой радиаторов российского производства;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- водоснабжение – стояки с вентилями на отводах к потребителям, без внутриквартирной разводки до мест установки </w:t>
      </w:r>
      <w:proofErr w:type="spell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сантехприборов</w:t>
      </w:r>
      <w:proofErr w:type="spell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>, счётчики расхода холодной и горячей воды;</w:t>
      </w:r>
      <w:proofErr w:type="gramEnd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- радиофикация – радиоточка;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- телевизионная антенна – без внутриквартирной разводки (общий стояк на лестничной клетке);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- балконы и лоджии - с остеклением и ограждением, без отделки стен, черновых и чистовых полов.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  <w:t>6.1. Функциональное назначение нежилых помещений в строящемся жилом доме, не входящих в состав общего имущества в строящемся жилом доме: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указанные помещения проектом не предусмотрены.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7.1.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gramStart"/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 общего имущества в строящемся жилом доме, которое будет находиться в общей долевой собственности участников долевого строительства: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жилом доме оборудование (технические подвалы), а также крыши, ограждающие несущие и ненесущие конструкции жилого дома, механическое, электрическое, санитарно-техническое</w:t>
      </w:r>
      <w:proofErr w:type="gram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 xml:space="preserve"> и иное оборудование, находящееся в жилом доме за пределами или внутри помещений и обслуживающее более одного помещения, земельный участок, на котором расположен жилой дом, с элементами озеленения и благоустройства и иные предназначенные для обслуживания, эксплуатации и благоустройства жилого дома объекты, расположенные на указанном земельном участке.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8.1. Предполагаемый срок получения разрешения на ввод в эксплуатацию строящегося жилого дома: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декабрь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2012 г.;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8.2. Перечень органов государственной власти, органов местного самоуправления и организаций, представители которых участвуют в приемке строящегося жилого дома: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местный орган архитектуры и градостроительства, ТУ «</w:t>
      </w:r>
      <w:proofErr w:type="spell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Роспотребнадзора</w:t>
      </w:r>
      <w:proofErr w:type="spell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>», главное управление ГО и ЧС, генеральный подрядчик, субподрядчики и другие уполномоченные лица.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shd w:val="clear" w:color="auto" w:fill="00FF0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9.1. Возможные финансовые и прочие риски при осуществлении проекта строительства: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риски, возможные при реализации настоящего проекта, не превышают нормального уровня рисков при реализации аналогичных проектов в сходных начальных условиях;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9.2. Меры по добровольному страхованию застройщиком финансовых и прочих рисков при осуществлении проекта строительства: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меры по добровольному страхованию рисков не принимаются;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9.3. Планируемая стоимость строительства (создания) жилого дома: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796 565 040,50 рубля;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shd w:val="clear" w:color="auto" w:fill="00FF0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10.1. Перечень организаций, осуществляющих основные строительно-монтажные и другие работы (подрядчиков):</w:t>
      </w:r>
      <w:r w:rsidRPr="00A135BF">
        <w:rPr>
          <w:rFonts w:ascii="Arial" w:eastAsia="Times New Roman" w:hAnsi="Arial" w:cs="Arial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генеральный подрядчик – ООО «</w:t>
      </w:r>
      <w:proofErr w:type="spellStart"/>
      <w:r w:rsidRPr="00A135BF">
        <w:rPr>
          <w:rFonts w:ascii="Arial" w:eastAsia="Times New Roman" w:hAnsi="Arial" w:cs="Arial"/>
          <w:sz w:val="20"/>
          <w:szCs w:val="20"/>
          <w:lang w:eastAsia="ru-RU"/>
        </w:rPr>
        <w:t>ДиК</w:t>
      </w:r>
      <w:proofErr w:type="spellEnd"/>
      <w:r w:rsidRPr="00A135BF">
        <w:rPr>
          <w:rFonts w:ascii="Arial" w:eastAsia="Times New Roman" w:hAnsi="Arial" w:cs="Arial"/>
          <w:sz w:val="20"/>
          <w:szCs w:val="20"/>
          <w:lang w:eastAsia="ru-RU"/>
        </w:rPr>
        <w:t>».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11.1. Способы обеспечения исполнения обязательств застройщика по договору:</w:t>
      </w:r>
      <w:r w:rsidRPr="00A135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135BF">
        <w:rPr>
          <w:rFonts w:ascii="Arial" w:eastAsia="Times New Roman" w:hAnsi="Arial" w:cs="Arial"/>
          <w:sz w:val="20"/>
          <w:szCs w:val="20"/>
          <w:lang w:eastAsia="ru-RU"/>
        </w:rPr>
        <w:t>залог в силу закона в порядке, предусмотренном ст.ст. 13-15 Федерального закона № 214-ФЗ от 18.07.2006.</w:t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13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12.1. Иные договоры и сделки, на основании которых привлекаются денежные средства для строительства жилого дома, за исключением привлеченных денежных средств на основании договоров: договоры инвестирования.</w:t>
      </w:r>
    </w:p>
    <w:p w:rsidR="006A06DB" w:rsidRDefault="00A135BF"/>
    <w:sectPr w:rsidR="006A06DB" w:rsidSect="001948D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35BF"/>
    <w:rsid w:val="000D6AC3"/>
    <w:rsid w:val="001948DE"/>
    <w:rsid w:val="001F36A4"/>
    <w:rsid w:val="0030080F"/>
    <w:rsid w:val="005422A8"/>
    <w:rsid w:val="006532EB"/>
    <w:rsid w:val="007C4D2F"/>
    <w:rsid w:val="0080212F"/>
    <w:rsid w:val="00A135BF"/>
    <w:rsid w:val="00BC0D5A"/>
    <w:rsid w:val="00C033F2"/>
    <w:rsid w:val="00CA63A9"/>
    <w:rsid w:val="00D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A9"/>
  </w:style>
  <w:style w:type="paragraph" w:styleId="1">
    <w:name w:val="heading 1"/>
    <w:basedOn w:val="a"/>
    <w:next w:val="a"/>
    <w:link w:val="10"/>
    <w:autoRedefine/>
    <w:uiPriority w:val="9"/>
    <w:qFormat/>
    <w:rsid w:val="00C033F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F2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a3">
    <w:name w:val="Normal (Web)"/>
    <w:basedOn w:val="a"/>
    <w:uiPriority w:val="99"/>
    <w:semiHidden/>
    <w:unhideWhenUsed/>
    <w:rsid w:val="00A1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3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1397</Words>
  <Characters>7964</Characters>
  <Application>Microsoft Office Word</Application>
  <DocSecurity>0</DocSecurity>
  <Lines>66</Lines>
  <Paragraphs>18</Paragraphs>
  <ScaleCrop>false</ScaleCrop>
  <Company>Microsoft</Company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2013-05-28T20:19:00Z</dcterms:created>
  <dcterms:modified xsi:type="dcterms:W3CDTF">2013-05-28T20:20:00Z</dcterms:modified>
</cp:coreProperties>
</file>