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Проектная декларация (</w:t>
      </w:r>
      <w:r>
        <w:rPr>
          <w:rFonts w:ascii="Arial" w:hAnsi="Arial" w:cs="Arial"/>
          <w:color w:val="000000"/>
          <w:sz w:val="20"/>
          <w:szCs w:val="20"/>
        </w:rPr>
        <w:t>с изменениями от 30 декабря  2012 года</w:t>
      </w:r>
      <w:r>
        <w:rPr>
          <w:rFonts w:ascii="Arial" w:hAnsi="Arial" w:cs="Arial"/>
          <w:color w:val="000000"/>
          <w:sz w:val="19"/>
          <w:szCs w:val="19"/>
        </w:rPr>
        <w:t>)</w:t>
      </w:r>
      <w:r>
        <w:rPr>
          <w:rFonts w:ascii="Arial" w:hAnsi="Arial" w:cs="Arial"/>
          <w:color w:val="000000"/>
          <w:sz w:val="19"/>
          <w:szCs w:val="19"/>
        </w:rPr>
        <w:br/>
        <w:t>о проекте строительства жилого дома (корпус 35), расположенного по адресу: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br/>
      </w:r>
      <w:proofErr w:type="gramStart"/>
      <w:r>
        <w:rPr>
          <w:rFonts w:ascii="Arial" w:hAnsi="Arial" w:cs="Arial"/>
          <w:color w:val="000000"/>
          <w:sz w:val="19"/>
          <w:szCs w:val="19"/>
        </w:rPr>
        <w:t>г</w:t>
      </w:r>
      <w:proofErr w:type="gramEnd"/>
      <w:r>
        <w:rPr>
          <w:rFonts w:ascii="Arial" w:hAnsi="Arial" w:cs="Arial"/>
          <w:color w:val="000000"/>
          <w:sz w:val="19"/>
          <w:szCs w:val="19"/>
        </w:rPr>
        <w:t>. Санкт-Петербург, улица Кржижановского, участок 1 (севернее пересечения с ул. Латышских Стрелков)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I. Информация о застройщике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1.1. Фирменное наименование: Закрытое акционерное общество «Квартира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.р</w:t>
      </w:r>
      <w:proofErr w:type="gramEnd"/>
      <w:r>
        <w:rPr>
          <w:rFonts w:ascii="Arial" w:hAnsi="Arial" w:cs="Arial"/>
          <w:color w:val="000000"/>
          <w:sz w:val="19"/>
          <w:szCs w:val="19"/>
        </w:rPr>
        <w:t>у - Северо-Запад».</w:t>
      </w:r>
      <w:r>
        <w:rPr>
          <w:rFonts w:ascii="Arial" w:hAnsi="Arial" w:cs="Arial"/>
          <w:color w:val="000000"/>
          <w:sz w:val="19"/>
          <w:szCs w:val="19"/>
        </w:rPr>
        <w:br/>
        <w:t xml:space="preserve">1.2.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Место нахождения (юридический адрес): 117186 г. Москва, ул. Нагорная, д. 30. корп. 1.</w:t>
      </w:r>
      <w:r>
        <w:rPr>
          <w:rFonts w:ascii="Arial" w:hAnsi="Arial" w:cs="Arial"/>
          <w:color w:val="000000"/>
          <w:sz w:val="19"/>
          <w:szCs w:val="19"/>
        </w:rPr>
        <w:br/>
        <w:t>1.2.1.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Фактический (почтовый) адрес: 123808, г. Москва, ул. Садовая - Кудринская, д.11</w:t>
      </w:r>
      <w:r>
        <w:rPr>
          <w:rFonts w:ascii="Arial" w:hAnsi="Arial" w:cs="Arial"/>
          <w:color w:val="000000"/>
          <w:sz w:val="19"/>
          <w:szCs w:val="19"/>
        </w:rPr>
        <w:br/>
        <w:t>1.3.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Режим работы: с 9.00 до 18.00, выходные – суббота, воскресенье.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2. О государственной регистрации: ОГРН 1067746347800, запись о создании внесена в ЕГРЮЛ 06 марта 2006 года, свидетельство о государственной регистрации юридического лица серия 77 № 008273339.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3. Учредители (акционеры), обладающие пятью и более процентами голосов в органе управления застройщика: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br/>
        <w:t>- Общество с ограниченной ответственностью «Балтийский Альянс» - 73,70 % голосов;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br/>
        <w:t>- Общество с ограниченной ответственностью «БалтИнвестСтрой» - 22,30 % голосов;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  <w:t xml:space="preserve">4.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Проекты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декларации:</w:t>
      </w:r>
      <w:r>
        <w:rPr>
          <w:rFonts w:ascii="Arial" w:hAnsi="Arial" w:cs="Arial"/>
          <w:color w:val="000000"/>
          <w:sz w:val="19"/>
          <w:szCs w:val="19"/>
        </w:rPr>
        <w:br/>
        <w:t>- г. Санкт-Петербург, ул. Латышских Стрелков, дом 15, корп. 1;</w:t>
      </w:r>
      <w:r>
        <w:rPr>
          <w:rFonts w:ascii="Arial" w:hAnsi="Arial" w:cs="Arial"/>
          <w:color w:val="000000"/>
          <w:sz w:val="19"/>
          <w:szCs w:val="19"/>
        </w:rPr>
        <w:br/>
        <w:t>- г. Санкт-Петербург, ул. Латышских Стрелков, дом 15, корп. 2;</w:t>
      </w:r>
      <w:r>
        <w:rPr>
          <w:rFonts w:ascii="Arial" w:hAnsi="Arial" w:cs="Arial"/>
          <w:color w:val="000000"/>
          <w:sz w:val="19"/>
          <w:szCs w:val="19"/>
        </w:rPr>
        <w:br/>
        <w:t>- г. Санкт-Петербург, ул. Латышских Стрелков, дом 15, корп. 3;</w:t>
      </w:r>
      <w:r>
        <w:rPr>
          <w:rFonts w:ascii="Arial" w:hAnsi="Arial" w:cs="Arial"/>
          <w:color w:val="000000"/>
          <w:sz w:val="19"/>
          <w:szCs w:val="19"/>
        </w:rPr>
        <w:br/>
        <w:t>- г. Санкт-Петербург, ул. Латышских Стрелков, дом 17, корп. 1.</w:t>
      </w:r>
      <w:proofErr w:type="gramEnd"/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5. О виде лицензируемой деятельности, номере лицензии, сроке ее действия, об органе, выдавшем эту лицензию, если вид деятельности подлежит лицензированию в соответствии с федеральным законом и связан с осуществлением застройщиком деятельности по привлечению денежных средств участников долевого строительства для строительства (создания) многоквартирных домов и (или) иных объектов недвижимости: Лицензия</w:t>
      </w:r>
      <w:proofErr w:type="gramStart"/>
      <w:r>
        <w:rPr>
          <w:rFonts w:ascii="Arial" w:hAnsi="Arial" w:cs="Arial"/>
          <w:color w:val="000000"/>
          <w:sz w:val="19"/>
          <w:szCs w:val="19"/>
        </w:rPr>
        <w:t xml:space="preserve"> Д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875795 на осуществление строительства зданий и сооружений I и II уровней ответственности в соответствии с государственным стандартом, осуществление функций генерального подрядчика, выполнение функций заказчика-застройщика, регистрационный № ГС-1-99-02-27-0-7703583895-052933-1 от 18 июня 2007 года, срок действия – по 18 июня 2012 года, выдана Федеральным агентством по строительству и жилищно-коммунальному хозяйству.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6.1. Финансовый результат по состоянию на 30.12.2012: - 3 613 тыс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.р</w:t>
      </w:r>
      <w:proofErr w:type="gramEnd"/>
      <w:r>
        <w:rPr>
          <w:rFonts w:ascii="Arial" w:hAnsi="Arial" w:cs="Arial"/>
          <w:color w:val="000000"/>
          <w:sz w:val="19"/>
          <w:szCs w:val="19"/>
        </w:rPr>
        <w:t>ублей.</w:t>
      </w:r>
      <w:r>
        <w:rPr>
          <w:rFonts w:ascii="Arial" w:hAnsi="Arial" w:cs="Arial"/>
          <w:color w:val="000000"/>
          <w:sz w:val="19"/>
          <w:szCs w:val="19"/>
        </w:rPr>
        <w:br/>
        <w:t>6.2. Размер кредиторской задолженности по состоянию на 30.12.2012: 12 452 млн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.р</w:t>
      </w:r>
      <w:proofErr w:type="gramEnd"/>
      <w:r>
        <w:rPr>
          <w:rFonts w:ascii="Arial" w:hAnsi="Arial" w:cs="Arial"/>
          <w:color w:val="000000"/>
          <w:sz w:val="19"/>
          <w:szCs w:val="19"/>
        </w:rPr>
        <w:t>ублей.</w:t>
      </w:r>
      <w:r>
        <w:rPr>
          <w:rFonts w:ascii="Arial" w:hAnsi="Arial" w:cs="Arial"/>
          <w:color w:val="000000"/>
          <w:sz w:val="19"/>
          <w:szCs w:val="19"/>
        </w:rPr>
        <w:br/>
        <w:t>6.3. Размер дебиторской задолженности по состоянию на 30.12.2012: 3 185 млн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.р</w:t>
      </w:r>
      <w:proofErr w:type="gramEnd"/>
      <w:r>
        <w:rPr>
          <w:rFonts w:ascii="Arial" w:hAnsi="Arial" w:cs="Arial"/>
          <w:color w:val="000000"/>
          <w:sz w:val="19"/>
          <w:szCs w:val="19"/>
        </w:rPr>
        <w:t>ублей.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  <w:t>II. Информация о проекте строительства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1.1. Цель проекта строительства: законченный строительством многоквартирный жилой дом, в соответствии с проектной документацией;</w:t>
      </w:r>
      <w:r>
        <w:rPr>
          <w:rFonts w:ascii="Arial" w:hAnsi="Arial" w:cs="Arial"/>
          <w:color w:val="000000"/>
          <w:sz w:val="19"/>
          <w:szCs w:val="19"/>
        </w:rPr>
        <w:br/>
        <w:t xml:space="preserve">1.2.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Этапы реализации проекта: 1-й этап – подготовка к строительству жилого дома, 2-й этап - земляные работы; 3-й этап – нулевой цикл; 4-й этап – строительно-монтажные работы; 5-й этап – отделочные работы, 6-й этап – окончательные взаиморасчеты, подписание акта о реализации проекта;</w:t>
      </w:r>
      <w:r>
        <w:rPr>
          <w:rFonts w:ascii="Arial" w:hAnsi="Arial" w:cs="Arial"/>
          <w:color w:val="000000"/>
          <w:sz w:val="19"/>
          <w:szCs w:val="19"/>
        </w:rPr>
        <w:br/>
        <w:t>1.3.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Сроки реализации проекта: начало реализации проекта – декабрь 2011 года, окончание реализации проекта – декабрь 2012 года;</w:t>
      </w:r>
      <w:r>
        <w:rPr>
          <w:rFonts w:ascii="Arial" w:hAnsi="Arial" w:cs="Arial"/>
          <w:color w:val="000000"/>
          <w:sz w:val="19"/>
          <w:szCs w:val="19"/>
        </w:rPr>
        <w:br/>
        <w:t>1.4. О результатах государственной экспертизы проектной документации: положительное заключение Государственной Экспертизы службы государственного строительного надзора и экспертизы Санкт-Петербурга от 31 декабря 2011г., регистрационный номер заключения государственной экспертизы в Реестре № 78 – 1 – 4 – 0006 – 12</w:t>
      </w:r>
      <w:r>
        <w:rPr>
          <w:rFonts w:ascii="Arial" w:hAnsi="Arial" w:cs="Arial"/>
          <w:color w:val="000000"/>
          <w:sz w:val="19"/>
          <w:szCs w:val="19"/>
        </w:rPr>
        <w:br/>
        <w:t>2. О разрешении на строительство: Разрешение на строительство № 78 - 12014520 - 2012 выдано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br/>
        <w:t>13 января 2012 г. Службой государственного строительного надзора и экспертизы Санкт-Петербурга, действие разрешения до 31 декабря 2012 года.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3.1. О правах застройщика на земельный участок: Договор аренды земельного участка на инвестиционных условиях № 13/ЗКС-03852 от 20 июня 2005 года в редакции дополнительного соглашения № 8 от 28 января 2011 г.;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br/>
        <w:t>3.2. Собственник земельного участка: Санкт-Петербург;</w:t>
      </w:r>
      <w:r>
        <w:rPr>
          <w:rFonts w:ascii="Arial" w:hAnsi="Arial" w:cs="Arial"/>
          <w:color w:val="000000"/>
          <w:sz w:val="19"/>
          <w:szCs w:val="19"/>
        </w:rPr>
        <w:br/>
        <w:t xml:space="preserve">3.3. Границы и площадь земельного участка: в границах землепользования – 140 461,0 кв.м., в т.ч. корпус 35 – </w:t>
      </w:r>
      <w:r>
        <w:rPr>
          <w:rFonts w:ascii="Arial" w:hAnsi="Arial" w:cs="Arial"/>
          <w:color w:val="000000"/>
          <w:sz w:val="19"/>
          <w:szCs w:val="19"/>
        </w:rPr>
        <w:lastRenderedPageBreak/>
        <w:t>2 163,5 кв. м.</w:t>
      </w:r>
      <w:r>
        <w:rPr>
          <w:rFonts w:ascii="Arial" w:hAnsi="Arial" w:cs="Arial"/>
          <w:color w:val="000000"/>
          <w:sz w:val="19"/>
          <w:szCs w:val="19"/>
        </w:rPr>
        <w:br/>
        <w:t>3.4. Элементы благоустройства: проезды, тротуары, отмостки, малые архитектурные формы, озеленение;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4.1. Местоположение строящегося жилого дома: на земельном участке, расположенном по адресу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г</w:t>
      </w:r>
      <w:proofErr w:type="gramEnd"/>
      <w:r>
        <w:rPr>
          <w:rFonts w:ascii="Arial" w:hAnsi="Arial" w:cs="Arial"/>
          <w:color w:val="000000"/>
          <w:sz w:val="19"/>
          <w:szCs w:val="19"/>
        </w:rPr>
        <w:t>. Санкт-Петербург, ул. Кржижановского, участок 1 (севернее пересечения с ул. Латышских Стрелков);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br/>
        <w:t>4.2. Описание строящегося жилого дома: 19, 22 этажа, подвал, технический чердак;</w:t>
      </w:r>
      <w:r>
        <w:rPr>
          <w:rFonts w:ascii="Arial" w:hAnsi="Arial" w:cs="Arial"/>
          <w:color w:val="000000"/>
          <w:sz w:val="19"/>
          <w:szCs w:val="19"/>
        </w:rPr>
        <w:br/>
        <w:t>5.1. Количество самостоятельных частей строящегося жилого дома: 406 квартир общей площадью 27 932,96 кв. метров (без учета площади балконов и лоджий).</w:t>
      </w:r>
      <w:r>
        <w:rPr>
          <w:rFonts w:ascii="Arial" w:hAnsi="Arial" w:cs="Arial"/>
          <w:color w:val="000000"/>
          <w:sz w:val="19"/>
          <w:szCs w:val="19"/>
        </w:rPr>
        <w:br/>
        <w:t>5.2. Описание технических характеристик самостоятельных частей строящегося жилого дома: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proofErr w:type="gramStart"/>
      <w:r>
        <w:rPr>
          <w:rFonts w:ascii="Arial" w:hAnsi="Arial" w:cs="Arial"/>
          <w:color w:val="000000"/>
          <w:sz w:val="19"/>
          <w:szCs w:val="19"/>
        </w:rPr>
        <w:br/>
        <w:t>-</w:t>
      </w:r>
      <w:proofErr w:type="gramEnd"/>
      <w:r>
        <w:rPr>
          <w:rFonts w:ascii="Arial" w:hAnsi="Arial" w:cs="Arial"/>
          <w:color w:val="000000"/>
          <w:sz w:val="19"/>
          <w:szCs w:val="19"/>
        </w:rPr>
        <w:t>фундамент состоит из свайного основания и монолитной железобетонной плиты,</w:t>
      </w:r>
      <w:r>
        <w:rPr>
          <w:rFonts w:ascii="Arial" w:hAnsi="Arial" w:cs="Arial"/>
          <w:color w:val="000000"/>
          <w:sz w:val="19"/>
          <w:szCs w:val="19"/>
        </w:rPr>
        <w:br/>
        <w:t>-каркас из монолитного железобетона,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br/>
        <w:t>- наружные стены жилых этажей – газобетонные блоки с поэтажным опиранием и с облицовкой лицевым кирпичом,</w:t>
      </w:r>
      <w:r>
        <w:rPr>
          <w:rFonts w:ascii="Arial" w:hAnsi="Arial" w:cs="Arial"/>
          <w:color w:val="000000"/>
          <w:sz w:val="19"/>
          <w:szCs w:val="19"/>
        </w:rPr>
        <w:br/>
        <w:t>-стены и перегородки внутренние из пазогребневых блоков и кирпича,</w:t>
      </w:r>
      <w:r>
        <w:rPr>
          <w:rFonts w:ascii="Arial" w:hAnsi="Arial" w:cs="Arial"/>
          <w:color w:val="000000"/>
          <w:sz w:val="19"/>
          <w:szCs w:val="19"/>
        </w:rPr>
        <w:br/>
        <w:t>-кровля плоская, рулонная, с внутренним водостоками,</w:t>
      </w:r>
      <w:r>
        <w:rPr>
          <w:rFonts w:ascii="Arial" w:hAnsi="Arial" w:cs="Arial"/>
          <w:color w:val="000000"/>
          <w:sz w:val="19"/>
          <w:szCs w:val="19"/>
        </w:rPr>
        <w:br/>
        <w:t>-лифты грузоподъемностью 400 кг и 600 кг;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В жилых помещениях: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- полы с цементной стяжкой (без напольного покрытия);</w:t>
      </w:r>
      <w:r>
        <w:rPr>
          <w:rFonts w:ascii="Arial" w:hAnsi="Arial" w:cs="Arial"/>
          <w:color w:val="000000"/>
          <w:sz w:val="19"/>
          <w:szCs w:val="19"/>
        </w:rPr>
        <w:br/>
        <w:t>- потолки - бетонная плита без отделки (без шпаклевки и без окраски), перекрытия монолитные;</w:t>
      </w:r>
      <w:r>
        <w:rPr>
          <w:rFonts w:ascii="Arial" w:hAnsi="Arial" w:cs="Arial"/>
          <w:color w:val="000000"/>
          <w:sz w:val="19"/>
          <w:szCs w:val="19"/>
        </w:rPr>
        <w:br/>
        <w:t>- перегородки межквартирные (стены) – без отделки (без штукатурки, шпаклевки, окраски и оклейки обоями);</w:t>
      </w:r>
      <w:r>
        <w:rPr>
          <w:rFonts w:ascii="Arial" w:hAnsi="Arial" w:cs="Arial"/>
          <w:color w:val="000000"/>
          <w:sz w:val="19"/>
          <w:szCs w:val="19"/>
        </w:rPr>
        <w:br/>
        <w:t>- перегородки санузла (между ванной комнатой и туалетом) – без отделки (без штукатурки, окраски, облицовки плиткой);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  <w:t xml:space="preserve">-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перегородки внутриквартирные (внутренние стены) из пазогребневых блоков, без отделки (без штукатурки, шпаклевки, окраски и оклейки обоями);</w:t>
      </w:r>
      <w:r>
        <w:rPr>
          <w:rFonts w:ascii="Arial" w:hAnsi="Arial" w:cs="Arial"/>
          <w:color w:val="000000"/>
          <w:sz w:val="19"/>
          <w:szCs w:val="19"/>
        </w:rPr>
        <w:br/>
        <w:t>- окна из профиля ПВХ со стеклопакетом без откосов и подоконной доски;</w:t>
      </w:r>
      <w:r>
        <w:rPr>
          <w:rFonts w:ascii="Arial" w:hAnsi="Arial" w:cs="Arial"/>
          <w:color w:val="000000"/>
          <w:sz w:val="19"/>
          <w:szCs w:val="19"/>
        </w:rPr>
        <w:br/>
        <w:t>- двери - только входная, без откосов и без окраски с внутренней стороны, без межкомнатных дверей;</w:t>
      </w:r>
      <w:r>
        <w:rPr>
          <w:rFonts w:ascii="Arial" w:hAnsi="Arial" w:cs="Arial"/>
          <w:color w:val="000000"/>
          <w:sz w:val="19"/>
          <w:szCs w:val="19"/>
        </w:rPr>
        <w:br/>
        <w:t>- без сантехприборов – без ванн, без унитазов, без умывальников, без моек;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  <w:t xml:space="preserve">-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внутриквартирные электрические сети с внутриквартирной электроразводкой с установкой выключателей и розеток;</w:t>
      </w:r>
      <w:r>
        <w:rPr>
          <w:rFonts w:ascii="Arial" w:hAnsi="Arial" w:cs="Arial"/>
          <w:color w:val="000000"/>
          <w:sz w:val="19"/>
          <w:szCs w:val="19"/>
        </w:rPr>
        <w:br/>
        <w:t>- без электрооборудования (в т.ч. без электроплит);</w:t>
      </w:r>
      <w:r>
        <w:rPr>
          <w:rFonts w:ascii="Arial" w:hAnsi="Arial" w:cs="Arial"/>
          <w:color w:val="000000"/>
          <w:sz w:val="19"/>
          <w:szCs w:val="19"/>
        </w:rPr>
        <w:br/>
        <w:t>- общая вертикальная однотрубная система отопления (стальные трубы) с установкой радиаторов российского производства;</w:t>
      </w:r>
      <w:r>
        <w:rPr>
          <w:rFonts w:ascii="Arial" w:hAnsi="Arial" w:cs="Arial"/>
          <w:color w:val="000000"/>
          <w:sz w:val="19"/>
          <w:szCs w:val="19"/>
        </w:rPr>
        <w:br/>
        <w:t>- водоснабжение – стояки с вентилями на отводах к потребителям, без внутриквартирной разводки до мест установки сантехприборов, счётчики расхода холодной и горячей воды;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  <w:t>- радиофикация – радиоточка;</w:t>
      </w:r>
      <w:r>
        <w:rPr>
          <w:rFonts w:ascii="Arial" w:hAnsi="Arial" w:cs="Arial"/>
          <w:color w:val="000000"/>
          <w:sz w:val="19"/>
          <w:szCs w:val="19"/>
        </w:rPr>
        <w:br/>
        <w:t>- телевизионная антенна – без внутриквартирной разводки (общий стояк на лестничной клетке);</w:t>
      </w:r>
      <w:r>
        <w:rPr>
          <w:rFonts w:ascii="Arial" w:hAnsi="Arial" w:cs="Arial"/>
          <w:color w:val="000000"/>
          <w:sz w:val="19"/>
          <w:szCs w:val="19"/>
        </w:rPr>
        <w:br/>
        <w:t>- балконы и лоджии - с остеклением и ограждением, без отделки стен, черновых и чистовых полов.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6.1. Функциональное назначение нежилых помещений в строящемся жилом доме, не входящих в состав общего имущества в строящемся жилом доме: указанные помещения проектом не предусмотрены.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7.1.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Состав общего имущества в строящемся жилом доме, которое будет находиться в общей долевой собственности участников долевого строительства: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жилом доме оборудование (технические подвалы), а также крыши, ограждающие несущие и ненесущие конструкции жилого дома, механическое, электрическое, санитарно-техническое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и иное оборудование, находящееся в жилом доме за пределами или внутри помещений и обслуживающее более одного помещения, земельный участок, на котором расположен жилой дом, с элементами озеленения и благоустройства и иные предназначенные для обслуживания, эксплуатации и благоустройства жилого дома объекты, расположенные на указанном земельном участке.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8.1. Предполагаемый срок получения разрешения на ввод в эксплуатацию строящегося жилого дома:</w:t>
      </w:r>
      <w:r>
        <w:rPr>
          <w:rStyle w:val="apple-converted-space"/>
          <w:rFonts w:ascii="Arial" w:hAnsi="Arial" w:cs="Arial"/>
          <w:color w:val="000000"/>
          <w:sz w:val="19"/>
          <w:szCs w:val="19"/>
        </w:rPr>
        <w:t> </w:t>
      </w:r>
      <w:r>
        <w:rPr>
          <w:rFonts w:ascii="Arial" w:hAnsi="Arial" w:cs="Arial"/>
          <w:color w:val="000000"/>
          <w:sz w:val="19"/>
          <w:szCs w:val="19"/>
        </w:rPr>
        <w:br/>
        <w:t>декабрь 2012 г.;</w:t>
      </w:r>
      <w:r>
        <w:rPr>
          <w:rFonts w:ascii="Arial" w:hAnsi="Arial" w:cs="Arial"/>
          <w:color w:val="000000"/>
          <w:sz w:val="19"/>
          <w:szCs w:val="19"/>
        </w:rPr>
        <w:br/>
        <w:t>8.2. Перечень органов государственной власти, органов местного самоуправления и организаций, представители которых участвуют в приемке строящегося жилого дома: местный орган архитектуры и градостроительства, ТУ «Роспотребнадзора», главное управление ГО и ЧС, генеральный подрядчик, субподрядчики и другие уполномоченные лица.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9.1. Возможные финансовые и прочие риски при осуществлении проекта строительства: риски, возможные при реализации настоящего проекта, не превышают нормального уровня рисков при реализации аналогичных проектов в сходных начальных условиях;</w:t>
      </w:r>
      <w:r>
        <w:rPr>
          <w:rFonts w:ascii="Arial" w:hAnsi="Arial" w:cs="Arial"/>
          <w:color w:val="000000"/>
          <w:sz w:val="19"/>
          <w:szCs w:val="19"/>
        </w:rPr>
        <w:br/>
        <w:t xml:space="preserve">9.2. Меры по добровольному страхованию застройщиком финансовых и прочих рисков при осуществлении </w:t>
      </w:r>
      <w:r>
        <w:rPr>
          <w:rFonts w:ascii="Arial" w:hAnsi="Arial" w:cs="Arial"/>
          <w:color w:val="000000"/>
          <w:sz w:val="19"/>
          <w:szCs w:val="19"/>
        </w:rPr>
        <w:lastRenderedPageBreak/>
        <w:t>проекта строительства: меры по добровольному страхованию рисков не принимаются;</w:t>
      </w:r>
      <w:r>
        <w:rPr>
          <w:rFonts w:ascii="Arial" w:hAnsi="Arial" w:cs="Arial"/>
          <w:color w:val="000000"/>
          <w:sz w:val="19"/>
          <w:szCs w:val="19"/>
        </w:rPr>
        <w:br/>
        <w:t>9.3. Планируемая стоимость строительства (создания) жилого дома: 966 553 882,06 рубля;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10.1. Перечень организаций, осуществляющих основные строительно-монтажные и другие работы (подрядчиков): генеральный подрядчик – ООО «КапСтрой»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11.1. Способы обеспечения исполнения обязательств застройщика по договору: залог в силу закона в порядке, предусмотренном ст.ст. 13-15 Федерального закона № 214-ФЗ от 18.07.2006.</w:t>
      </w:r>
    </w:p>
    <w:p w:rsidR="007418F1" w:rsidRDefault="007418F1" w:rsidP="007418F1">
      <w:pPr>
        <w:pStyle w:val="a3"/>
        <w:shd w:val="clear" w:color="auto" w:fill="FFFFFF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12.1. Иные договоры и сделки, на основании которых привлекаются денежные средства для строительства жилого дома, за исключением привлеченных денежных средств на основании договоров: договоры инвестирования</w:t>
      </w:r>
    </w:p>
    <w:p w:rsidR="006A06DB" w:rsidRDefault="007418F1"/>
    <w:sectPr w:rsidR="006A06DB" w:rsidSect="001948D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418F1"/>
    <w:rsid w:val="000D6AC3"/>
    <w:rsid w:val="001948DE"/>
    <w:rsid w:val="001F36A4"/>
    <w:rsid w:val="00200A43"/>
    <w:rsid w:val="005422A8"/>
    <w:rsid w:val="006532EB"/>
    <w:rsid w:val="007418F1"/>
    <w:rsid w:val="007C4D2F"/>
    <w:rsid w:val="0080212F"/>
    <w:rsid w:val="00BC0D5A"/>
    <w:rsid w:val="00C033F2"/>
    <w:rsid w:val="00CA63A9"/>
    <w:rsid w:val="00DD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3A9"/>
  </w:style>
  <w:style w:type="paragraph" w:styleId="1">
    <w:name w:val="heading 1"/>
    <w:basedOn w:val="a"/>
    <w:next w:val="a"/>
    <w:link w:val="10"/>
    <w:autoRedefine/>
    <w:uiPriority w:val="9"/>
    <w:qFormat/>
    <w:rsid w:val="00C033F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F2"/>
    <w:rPr>
      <w:rFonts w:ascii="Times New Roman" w:eastAsiaTheme="majorEastAsia" w:hAnsi="Times New Roman" w:cstheme="majorBidi"/>
      <w:b/>
      <w:bCs/>
      <w:sz w:val="36"/>
      <w:szCs w:val="28"/>
    </w:rPr>
  </w:style>
  <w:style w:type="paragraph" w:styleId="a3">
    <w:name w:val="Normal (Web)"/>
    <w:basedOn w:val="a"/>
    <w:uiPriority w:val="99"/>
    <w:semiHidden/>
    <w:unhideWhenUsed/>
    <w:rsid w:val="0074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418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1352</Words>
  <Characters>7711</Characters>
  <Application>Microsoft Office Word</Application>
  <DocSecurity>0</DocSecurity>
  <Lines>64</Lines>
  <Paragraphs>18</Paragraphs>
  <ScaleCrop>false</ScaleCrop>
  <Company>Microsoft</Company>
  <LinksUpToDate>false</LinksUpToDate>
  <CharactersWithSpaces>9045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2013-05-28T20:21:00Z</dcterms:created>
  <dcterms:modified xsi:type="dcterms:W3CDTF">2013-05-28T20:21:00Z</dcterms:modified>
</cp:coreProperties>
</file>