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5301DC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B46C88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016CC9" w:rsidRPr="00B46C88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2E1832" w:rsidRDefault="00A713A7" w:rsidP="00A713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Проектная декларация 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br/>
                    <w:t xml:space="preserve">по строительству  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жилого комплекса </w:t>
                  </w:r>
                  <w:r w:rsidR="00B25629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со встроенными помещениями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 подземной автостоянкой: 2-й этап – жилые дома со встроенными помещениями </w:t>
                  </w:r>
                  <w:r w:rsidR="006A65D5" w:rsidRP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(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корпуса 3, 4</w:t>
                  </w:r>
                  <w:r w:rsidR="006A65D5" w:rsidRP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)</w:t>
                  </w:r>
                  <w:r w:rsidR="006A65D5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  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по адресу: Санкт-Петербург, поселок </w:t>
                  </w:r>
                  <w:proofErr w:type="spellStart"/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Шушары</w:t>
                  </w:r>
                  <w:proofErr w:type="spellEnd"/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>, Первомайская улица, д. 5, лит. А</w:t>
                  </w:r>
                </w:p>
                <w:p w:rsidR="004F518E" w:rsidRDefault="004F518E" w:rsidP="004F518E">
                  <w:pPr>
                    <w:pStyle w:val="a3"/>
                    <w:spacing w:before="0" w:beforeAutospacing="0" w:after="0" w:afterAutospacing="0"/>
                    <w:ind w:right="-1"/>
                    <w:jc w:val="center"/>
                    <w:rPr>
                      <w:rStyle w:val="a4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(редакция с изменениями от </w:t>
                  </w:r>
                  <w:r w:rsidR="009D3710"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03 апреля </w:t>
                  </w:r>
                  <w:r>
                    <w:rPr>
                      <w:rStyle w:val="a4"/>
                      <w:color w:val="000000"/>
                      <w:sz w:val="20"/>
                      <w:szCs w:val="20"/>
                    </w:rPr>
                    <w:t>201</w:t>
                  </w:r>
                  <w:r w:rsidR="009D3710">
                    <w:rPr>
                      <w:rStyle w:val="a4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 г.)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г. Санкт - Петербург                                                               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    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  </w:t>
                  </w:r>
                  <w:r w:rsidR="001C6C0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29 ноября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2010 года </w:t>
                  </w:r>
                </w:p>
                <w:p w:rsidR="00A713A7" w:rsidRPr="00BE26B6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1. Полное наименование застройщика: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бщество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 ограниченной ответственностью &lt;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Норманн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</w:t>
                  </w:r>
                </w:p>
                <w:p w:rsidR="00A713A7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1.1.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Юридический адрес: 194156, г. Санкт-Петербург, ул. </w:t>
                  </w:r>
                  <w:proofErr w:type="spell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Сердобольская</w:t>
                  </w:r>
                  <w:proofErr w:type="spell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д. 2-в, лит. А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Адрес фактического местонахождения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  <w:r w:rsidR="003D56E2" w:rsidRPr="002B316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  <w:r w:rsidR="007B122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2B316B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, г. Санкт-Петербург, пл. Ал. Невского, д. 2, лит. Е</w:t>
                  </w:r>
                  <w:r w:rsidR="003D56E2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1.2. Режим работы застройщика: с 9.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0 до 18.00 по будням. Суббота и воскресенье - выходные. 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2. Информация о государственной регистрации застройщика: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&lt;Норманн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зарегистрировано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МИФНС № 15 по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Санкт-Петербург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у, свидетельство о государственной регистрации юридического лица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апреля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200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года серия 78 № 00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6047395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основной государственный регистрационный номер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1077847264527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A713A7" w:rsidRPr="00B46C88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3. Информация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 учредителях (участниках)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застройщика: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Закрытое акционерное общество «</w:t>
                  </w:r>
                  <w:proofErr w:type="spell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Инвестиционно-строительная</w:t>
                  </w:r>
                  <w:proofErr w:type="spell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группа «Норманн» - 100%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2B419E" w:rsidRPr="002B419E" w:rsidRDefault="00A713A7" w:rsidP="002B419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</w:pPr>
                  <w:r w:rsidRPr="007306FC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 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19-этажного </w:t>
                  </w:r>
                  <w:r w:rsidR="003D56E2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жило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го</w:t>
                  </w:r>
                  <w:r w:rsidR="003D56E2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комплекс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</w:t>
                  </w:r>
                  <w:r w:rsidR="003D56E2"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со встроено-пристроенными помещениями и подземной автостоянкой  по адресу: Санкт-Петербург, </w:t>
                  </w:r>
                  <w:r w:rsidR="003D56E2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Пушкинский район, поселок </w:t>
                  </w:r>
                  <w:proofErr w:type="spellStart"/>
                  <w:r w:rsidR="003D56E2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>Шушары</w:t>
                  </w:r>
                  <w:proofErr w:type="spellEnd"/>
                  <w:r w:rsidR="003D56E2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, Первомайская улица, д. 5, лит. А (корпус 1 – многоквартирный жилой дом), </w:t>
                  </w:r>
                  <w:r w:rsidR="002B419E" w:rsidRPr="002B419E">
                    <w:rPr>
                      <w:rFonts w:ascii="Verdana" w:eastAsia="Times New Roman" w:hAnsi="Verdana"/>
                      <w:sz w:val="18"/>
                      <w:szCs w:val="18"/>
                      <w:lang w:eastAsia="ru-RU"/>
                    </w:rPr>
                    <w:t xml:space="preserve"> плановый срок завершения строительно-монтажных работ – 31.05.2011г.,  введен в эксплуатацию 30.12.2011 на основании Разрешения на ввод объекта в эксплуатацию № 78-7116в-2011.</w:t>
                  </w:r>
                </w:p>
                <w:p w:rsidR="00A713A7" w:rsidRPr="009F1947" w:rsidRDefault="00A713A7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5. </w:t>
                  </w: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9F194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 </w:t>
                  </w:r>
                  <w:r w:rsidRPr="009F194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 xml:space="preserve">Нет. В </w:t>
                  </w:r>
                  <w:proofErr w:type="gramStart"/>
                  <w:r w:rsidRPr="009F194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соответствии</w:t>
                  </w:r>
                  <w:proofErr w:type="gramEnd"/>
                  <w:r w:rsidRPr="009F1947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111A29" w:rsidRDefault="00A713A7" w:rsidP="00111A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11A29">
                    <w:rPr>
                      <w:color w:val="auto"/>
                      <w:sz w:val="19"/>
                      <w:szCs w:val="19"/>
                    </w:rPr>
                    <w:t>6.</w:t>
                  </w:r>
                  <w:r w:rsidRPr="009F1947">
                    <w:rPr>
                      <w:sz w:val="19"/>
                      <w:szCs w:val="19"/>
                    </w:rPr>
                    <w:t xml:space="preserve"> </w:t>
                  </w:r>
                  <w:r w:rsidR="00111A29" w:rsidRPr="005A2C75"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 Финансовый результат текущего года, размер кредиторской задолженности на дату опубликования проектной декларации: </w:t>
                  </w:r>
                  <w:r w:rsidR="00111A29">
                    <w:rPr>
                      <w:color w:val="000000"/>
                      <w:sz w:val="20"/>
                      <w:szCs w:val="20"/>
                    </w:rPr>
                    <w:t>Финансовый результат на 3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111A29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12</w:t>
                  </w:r>
                  <w:r w:rsidR="00111A29">
                    <w:rPr>
                      <w:color w:val="000000"/>
                      <w:sz w:val="20"/>
                      <w:szCs w:val="20"/>
                    </w:rPr>
                    <w:t xml:space="preserve">.2012 г. составил 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9 269</w:t>
                  </w:r>
                  <w:r w:rsidR="00111A29">
                    <w:rPr>
                      <w:color w:val="000000"/>
                      <w:sz w:val="20"/>
                      <w:szCs w:val="20"/>
                    </w:rPr>
                    <w:t xml:space="preserve"> тыс. руб.</w:t>
                  </w:r>
                </w:p>
                <w:p w:rsidR="00111A29" w:rsidRPr="004F492D" w:rsidRDefault="00111A29" w:rsidP="00111A2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Размер кредиторской задолженности на </w:t>
                  </w:r>
                  <w:r w:rsidR="00892EA3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892EA3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12</w:t>
                  </w:r>
                  <w:r w:rsidR="00892EA3">
                    <w:rPr>
                      <w:color w:val="000000"/>
                      <w:sz w:val="20"/>
                      <w:szCs w:val="20"/>
                    </w:rPr>
                    <w:t xml:space="preserve">.12г.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>составил 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1 </w:t>
                  </w:r>
                  <w:r w:rsidR="00892EA3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97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215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тыс. руб.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Размер </w:t>
                  </w:r>
                  <w:r>
                    <w:rPr>
                      <w:color w:val="000000"/>
                      <w:sz w:val="20"/>
                      <w:szCs w:val="20"/>
                    </w:rPr>
                    <w:t>дебиторской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 xml:space="preserve"> задолженности на</w:t>
                  </w:r>
                  <w:r w:rsidR="00892EA3">
                    <w:rPr>
                      <w:color w:val="000000"/>
                      <w:sz w:val="20"/>
                      <w:szCs w:val="20"/>
                    </w:rPr>
                    <w:t xml:space="preserve"> 3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892EA3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12</w:t>
                  </w:r>
                  <w:r w:rsidR="00892EA3">
                    <w:rPr>
                      <w:color w:val="000000"/>
                      <w:sz w:val="20"/>
                      <w:szCs w:val="20"/>
                    </w:rPr>
                    <w:t>.12г.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4F492D">
                    <w:rPr>
                      <w:color w:val="000000"/>
                      <w:sz w:val="20"/>
                      <w:szCs w:val="20"/>
                    </w:rPr>
                    <w:t>составил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D3710">
                    <w:rPr>
                      <w:color w:val="000000"/>
                      <w:sz w:val="20"/>
                      <w:szCs w:val="20"/>
                    </w:rPr>
                    <w:t>203 757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тыс. руб. </w:t>
                  </w:r>
                </w:p>
                <w:p w:rsidR="00016CC9" w:rsidRPr="00B46C88" w:rsidRDefault="00A713A7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t xml:space="preserve">Информация о проекте строительства </w:t>
                  </w:r>
                  <w:r w:rsidRPr="00BE26B6">
                    <w:rPr>
                      <w:rFonts w:ascii="Verdana" w:eastAsia="Times New Roman" w:hAnsi="Verdana"/>
                      <w:b/>
                      <w:sz w:val="19"/>
                      <w:szCs w:val="19"/>
                      <w:lang w:eastAsia="ru-RU"/>
                    </w:rPr>
                    <w:br/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.1.1. Начало строительства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</w:t>
                  </w:r>
                  <w:r w:rsidR="00B25629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V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квартал 2010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.1.2. Окончание строительства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- </w:t>
                  </w:r>
                  <w:r w:rsidR="0029250F" w:rsidRPr="00E8131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29250F"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IV</w:t>
                  </w:r>
                  <w:r w:rsidR="0029250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квартал</w:t>
                  </w:r>
                  <w:r w:rsidR="0029250F">
                    <w:t xml:space="preserve"> </w:t>
                  </w:r>
                  <w:r w:rsidR="007D3E76">
                    <w:t xml:space="preserve"> </w:t>
                  </w:r>
                  <w:r w:rsidR="007D3E76" w:rsidRPr="007D3E76">
                    <w:t>201</w:t>
                  </w:r>
                  <w:r w:rsidR="0029250F">
                    <w:t>2</w:t>
                  </w:r>
                  <w:r w:rsidR="007D3E76">
                    <w:t xml:space="preserve">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</w:p>
                <w:p w:rsidR="00016CC9" w:rsidRPr="00B46C88" w:rsidRDefault="00BE26B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Результаты проведения государственной экспертизы проектной документации: Положительное заключение </w:t>
                  </w:r>
                  <w:proofErr w:type="spellStart"/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СПбГАУ</w:t>
                  </w:r>
                  <w:proofErr w:type="spellEnd"/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«Центр государственной экспертизы» </w:t>
                  </w:r>
                  <w:proofErr w:type="spellStart"/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рег</w:t>
                  </w:r>
                  <w:proofErr w:type="spellEnd"/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№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78-1-4-0760-10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07.10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.2010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="00630AA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BE26B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>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Разрешение на строительство № 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78-1600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8520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-2010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от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 ноября</w:t>
                  </w:r>
                  <w:r w:rsidR="0011684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2010 года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выдано Службой Государственного строительного надзора и экспертизы Санкт-Петербурга. Срок действия разрешения - 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 </w:t>
                  </w:r>
                  <w:r w:rsidR="006A65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10 марта 2013 г.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BE26B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Земельный участок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принадлежит застройщику </w:t>
                  </w:r>
                  <w:r w:rsid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праве собственности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основании Договора купли-продажи недвижимого имущества от 25.07.2007,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что подтверждается Свидетельством о государственной регистрации права от 05.05.2009</w:t>
                  </w:r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на бланке серии 78-АД № 103516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630AA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Земельный участок площадью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12827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кв.м., кадастровый номер - № 78: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42:15106:19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ограничен: </w:t>
                  </w:r>
                </w:p>
                <w:p w:rsidR="00016CC9" w:rsidRPr="00B46C88" w:rsidRDefault="0065064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с севера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продолжением ул. </w:t>
                  </w:r>
                  <w:proofErr w:type="gram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Первомайская</w:t>
                  </w:r>
                  <w:proofErr w:type="gramEnd"/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;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с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востока – ул. </w:t>
                  </w:r>
                  <w:proofErr w:type="gramStart"/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Школьная</w:t>
                  </w:r>
                  <w:proofErr w:type="gramEnd"/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запада – внутриквартальной жилой застройкой ул. Пушкинской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;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</w:t>
                  </w:r>
                  <w:r w:rsidR="006506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юга – внутриквартальным проездом и территорией детского сада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Элементы благоустройства: </w:t>
                  </w:r>
                </w:p>
                <w:p w:rsidR="006A65D5" w:rsidRDefault="00AE305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Территория, свободная от застройки, благоустраивае</w:t>
                  </w:r>
                  <w:r w:rsidR="0044466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ся и озеленяется. Проектом предусмотрено устройство площадок для отдыха взрослых и детей с размещением на них малых архитектурных форм (скамьи, урны, песочницы, качалки), автостоянки для временной парковки машин, асфальтобетонных проездов, тротуаров из бетонных плит, устройство газонов, посадка кустарников.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Местоположение строящегося </w:t>
                  </w:r>
                  <w:r w:rsidR="00CF413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объекта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413CEE" w:rsidRDefault="00413CE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Санкт-Петербург, поселок </w:t>
                  </w:r>
                  <w:proofErr w:type="spellStart"/>
                  <w:r w:rsidRP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Шушары</w:t>
                  </w:r>
                  <w:proofErr w:type="spellEnd"/>
                  <w:r w:rsidRP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Первомайская улица, д. 5, лит. А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Ближайш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ие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станци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метро </w:t>
                  </w:r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gramStart"/>
                  <w:r w:rsidR="00413CE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Звездная</w:t>
                  </w:r>
                  <w:proofErr w:type="gramEnd"/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="004614A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Купчино</w:t>
                  </w:r>
                  <w:proofErr w:type="spellEnd"/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Количество в составе строящегося </w:t>
                  </w:r>
                  <w:r w:rsidR="00CF413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объекта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Общая площадь здания 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–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E305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46810,0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</w:t>
                  </w:r>
                  <w:proofErr w:type="gramStart"/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AE305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;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E305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</w:t>
                  </w:r>
                  <w:r w:rsidR="00600F3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бщая площадь квартир – 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27403,2 кв.м; общая площадь встроенных помещений – 1286,37 кв.м;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бщее количество квартир - 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792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шт., в том числе: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однокомнатные - 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681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- двухкомнатные - 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 трёхкомнатные - </w:t>
                  </w:r>
                  <w:r w:rsidR="00957D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40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шт.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Характеристики квартир: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1-комнатные от </w:t>
                  </w:r>
                  <w:r w:rsidR="00EA0C3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26,25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до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44,29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2-комнатные от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52,23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56,82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2A5E5E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3-комнатные от </w:t>
                  </w:r>
                  <w:r w:rsidR="00F06D7B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75,68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 м. до </w:t>
                  </w:r>
                  <w:r w:rsidR="00AD059B"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89,97 </w:t>
                  </w:r>
                  <w:r w:rsidRP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кв. м. (с учетом балконов/лоджий). </w:t>
                  </w:r>
                </w:p>
                <w:p w:rsidR="0024796F" w:rsidRDefault="001B01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Жилые дома (корпуса 3 и 4) примыкают друг к другу торцевыми стенами</w:t>
                  </w:r>
                  <w:r w:rsidR="00AC4F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Каждый дом состоит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из двух секций. Крайние секции (секция 1, корпус 3 и секция 4, корпус 4) – Г-образной в плане формы и две средние рядовые секции (секция 2, корпус 3 и секция 3, корпус 4) имеют 19 жилых этажей, подвал и 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технический этаж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F7484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Подвал (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1434,65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</w:t>
                  </w:r>
                  <w:proofErr w:type="gramStart"/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 предназначен для размещения инженерного оборудования и про</w:t>
                  </w:r>
                  <w:r w:rsidR="00497C4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ладки инженерных сетей.</w:t>
                  </w:r>
                </w:p>
                <w:p w:rsidR="001B01F4" w:rsidRDefault="001B01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первом этаже секций 1 и 4 запроектированы квартиры, входные вестибюли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 w:rsidR="007C2201" w:rsidRPr="007C220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тамбуры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16,0 кв</w:t>
                  </w:r>
                  <w:proofErr w:type="gramStart"/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F7484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мусоросборные</w:t>
                  </w:r>
                  <w:proofErr w:type="spell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камеры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(9,6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1B01F4" w:rsidRDefault="001B01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первом этаже секций 2 и 3 – встроенные магазины продовольственной и непродовольственной торговли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418,11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</w:t>
                  </w:r>
                  <w:proofErr w:type="gramStart"/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423,73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входные вестибюли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тамбуры жилой зоны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25,8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мусоросборные</w:t>
                  </w:r>
                  <w:proofErr w:type="spell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камеры</w:t>
                  </w:r>
                  <w:r w:rsidR="00F7484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8,24 кв.м</w:t>
                  </w:r>
                  <w:r w:rsidR="00F74844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1B01F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втором этаже секций 1 и 4 запроектированы жилые квартиры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F7484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На втором этаже секций 2 и 3 – квартиры и встроенны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 помещения офисов (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от 19,1 до </w:t>
                  </w:r>
                  <w:r w:rsidR="002503B9" w:rsidRPr="00F651B2">
                    <w:rPr>
                      <w:rFonts w:ascii="Verdana" w:eastAsia="Times New Roman" w:hAnsi="Verdana"/>
                      <w:color w:val="FF0000"/>
                      <w:sz w:val="19"/>
                      <w:szCs w:val="19"/>
                      <w:lang w:eastAsia="ru-RU"/>
                    </w:rPr>
                    <w:t>22.6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</w:t>
                  </w:r>
                  <w:proofErr w:type="gramStart"/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общей площадью </w:t>
                  </w:r>
                  <w:r w:rsidR="0069364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444,53</w:t>
                  </w:r>
                  <w:r w:rsidR="0069364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кв.м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).</w:t>
                  </w:r>
                </w:p>
                <w:p w:rsidR="00F74844" w:rsidRDefault="00F7484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 3 по 19 этажи во всех секциях запроектированы жилые квартиры</w:t>
                  </w:r>
                  <w:r w:rsidR="0044466D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497C4D" w:rsidRDefault="00497C4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Технический этаж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(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1568,26 кв</w:t>
                  </w:r>
                  <w:proofErr w:type="gramStart"/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.м</w:t>
                  </w:r>
                  <w:proofErr w:type="gramEnd"/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)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предназначен для прокладки инженерных сетей.</w:t>
                  </w:r>
                </w:p>
                <w:p w:rsidR="001B491B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CD1145" w:rsidRDefault="002A5E5E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встроенные магазины продовольственной и непродовольственной торговли, </w:t>
                  </w:r>
                  <w:r w:rsidR="00F74844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помещения офисов</w:t>
                  </w:r>
                  <w:r w:rsidR="00DC689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помещения управляющей компании</w:t>
                  </w:r>
                  <w:r w:rsidR="00030AAF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026616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6.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строительства. 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2503B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026616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.2.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Вестибюли, лифтовые холлы, переход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ные лоджии и балконы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="00BE0EFA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технический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FA3B0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этаж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подвал; </w:t>
                  </w:r>
                </w:p>
                <w:p w:rsidR="00026616" w:rsidRPr="002503B9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й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уз</w:t>
                  </w:r>
                  <w:r w:rsidR="00A467D5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ел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proofErr w:type="spellStart"/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венткамеры</w:t>
                  </w:r>
                  <w:proofErr w:type="spellEnd"/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лифтовые шахты, машинные помещения лифтов, коммуникационные шахты и коммуникационные коридоры, </w:t>
                  </w:r>
                  <w:proofErr w:type="spellStart"/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крышн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proofErr w:type="spellEnd"/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газов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котельн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мусороприемн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камер</w:t>
                  </w:r>
                  <w:r w:rsidR="004D09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 пр.;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6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водоснабжения и </w:t>
                  </w:r>
                  <w:proofErr w:type="spellStart"/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канализования</w:t>
                  </w:r>
                  <w:proofErr w:type="spellEnd"/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станци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и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систем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spellStart"/>
                  <w:r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дым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оудаления</w:t>
                  </w:r>
                  <w:proofErr w:type="spellEnd"/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мусоропровод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и пр.;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7D3E7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16.</w:t>
                  </w:r>
                  <w:r w:rsidR="008630AE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5</w:t>
                  </w:r>
                  <w:r w:rsidR="007D3E7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26616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Помещени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е</w:t>
                  </w:r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ТСЖ</w:t>
                  </w:r>
                  <w:r w:rsid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, кладовые уборочного инвентаря, </w:t>
                  </w:r>
                  <w:proofErr w:type="spellStart"/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электрощитов</w:t>
                  </w:r>
                  <w:r w:rsidR="000C20B9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ые</w:t>
                  </w:r>
                  <w:proofErr w:type="spellEnd"/>
                  <w:r w:rsidR="00DA65A8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</w:p>
                <w:p w:rsidR="00016CC9" w:rsidRPr="00B46C88" w:rsidRDefault="00016CC9" w:rsidP="00AD059B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Предполагаемый срок получения разрешения на ввод в эксплуатацию строящегося многоквартирного дома: </w:t>
                  </w:r>
                </w:p>
                <w:p w:rsidR="00016CC9" w:rsidRPr="00B46C88" w:rsidRDefault="0029250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val="en-US" w:eastAsia="ru-RU"/>
                    </w:rPr>
                    <w:t>IV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квартал</w:t>
                  </w:r>
                  <w:r>
                    <w:t xml:space="preserve">  </w:t>
                  </w:r>
                  <w:r w:rsidRPr="007D3E76">
                    <w:t>201</w:t>
                  </w:r>
                  <w:r>
                    <w:t>2</w:t>
                  </w:r>
                  <w:proofErr w:type="gramEnd"/>
                  <w:r>
                    <w:t xml:space="preserve"> года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1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8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Заказчик -  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&lt;Норманн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-Заказчик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Проектировщик - ООО &lt;</w:t>
                  </w:r>
                  <w:r w:rsidR="00C55A37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Архитектурная мастерская </w:t>
                  </w:r>
                  <w:proofErr w:type="spellStart"/>
                  <w:r w:rsidR="00C55A37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Цехомского</w:t>
                  </w:r>
                  <w:proofErr w:type="spellEnd"/>
                  <w:r w:rsidR="00C55A37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В.В.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Генеральный подрядчик - </w:t>
                  </w:r>
                  <w:r w:rsidR="009A0290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 &lt;</w:t>
                  </w:r>
                  <w:r w:rsidR="00592836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Норманн-Строй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</w:p>
                <w:p w:rsidR="007D465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плуатации многоквартирного дома;</w:t>
                  </w:r>
                </w:p>
                <w:p w:rsidR="007D4653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Территориальное управление 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Пушкинского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администра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тивного района Санкт-Петербурга;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Служба государственного строительного надзора Санкт-Петербурга</w:t>
                  </w:r>
                  <w:r w:rsidR="007D4653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Возможные финансовые и прочие риски при осуществлении проекта строительства: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B46C88" w:rsidRDefault="009F58E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B46C88" w:rsidRDefault="009F58E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19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br/>
                    <w:t>2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0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Планируемая стоимость строительства 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жилых домов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Согласно смете существующего проекта строительства 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738 843 767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(</w:t>
                  </w:r>
                  <w:r w:rsidR="002A5E5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семьсот тридцать восемь миллионов восемьсот сорок три тысячи семьсот шестьдесят семь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) рублей.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1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</w:p>
                <w:p w:rsidR="00016CC9" w:rsidRPr="00B46C88" w:rsidRDefault="00C55A37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 &lt;</w:t>
                  </w:r>
                  <w:r w:rsidR="008630A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Статика Инжиниринг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устройство свайного основания под фундамент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 w:rsidR="008630AE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Строй СПб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земляные работы </w:t>
                  </w:r>
                </w:p>
                <w:p w:rsidR="00FE44D9" w:rsidRDefault="00016CC9" w:rsidP="00D20D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&lt;Северная высота&gt;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</w:t>
                  </w:r>
                  <w:r w:rsidR="00B46C88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</w:t>
                  </w:r>
                  <w:r w:rsidR="00AC4F10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аренда башенн</w:t>
                  </w:r>
                  <w:r w:rsidR="00AC4F10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ых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кран</w:t>
                  </w:r>
                  <w:r w:rsidR="00AC4F10" w:rsidRPr="002503B9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ов</w:t>
                  </w:r>
                </w:p>
                <w:p w:rsidR="00691ACB" w:rsidRDefault="00691ACB" w:rsidP="00D20D4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&lt;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ПСК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&gt; - </w:t>
                  </w:r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устройство монолитного </w:t>
                  </w:r>
                  <w:proofErr w:type="gramStart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ж/б</w:t>
                  </w:r>
                  <w:proofErr w:type="gramEnd"/>
                  <w:r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каркаса</w:t>
                  </w:r>
                </w:p>
                <w:p w:rsidR="003D56E2" w:rsidRPr="003D56E2" w:rsidRDefault="003D56E2" w:rsidP="003D56E2">
                  <w:pPr>
                    <w:spacing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"СК Квартет-Строй"- устройство внутренних инженерных сетей отопления, вентиляции, водопровода и канализации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Меликонполар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" - устройство внутренних стен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"Петербургская Строительная Компания", 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ВестПром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" - устройство наружных стен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СевЗапГазСтрой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" - устройство подводящего газопровода, 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крышных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котельных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ООО "Сигнал" - устройство внутренних слаботочных систем и автоматики 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пожаротужения</w:t>
                  </w:r>
                  <w:proofErr w:type="spellEnd"/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"ПКФ ЛУЧ", ООО "</w:t>
                  </w:r>
                  <w:proofErr w:type="spellStart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Главэлектрострой</w:t>
                  </w:r>
                  <w:proofErr w:type="spellEnd"/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" устройство внутренних сетей электроснабжения</w:t>
                  </w:r>
                </w:p>
                <w:p w:rsidR="003D56E2" w:rsidRPr="003D56E2" w:rsidRDefault="003D56E2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19"/>
                      <w:szCs w:val="19"/>
                      <w:lang w:eastAsia="ru-RU"/>
                    </w:rPr>
                  </w:pPr>
                  <w:r w:rsidRP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ООО "Козерог" - остекление</w:t>
                  </w:r>
                  <w:r w:rsidRPr="003D56E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собственности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</w:t>
                  </w:r>
                  <w:proofErr w:type="gramStart"/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 &lt;О</w:t>
                  </w:r>
                  <w:proofErr w:type="gramEnd"/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б участии в долевом строительстве многоквартирных домов и иных объектов недвижимости и о внесении изменений в некоторые 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lastRenderedPageBreak/>
                    <w:t xml:space="preserve">законодательные акты Российской Федерации&gt;.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2</w:t>
                  </w:r>
                  <w:r w:rsidR="009F58ED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3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. Иные договоры и сделки, на основании которых привлекаются денежные средства для строительства объекта за исключением привлечения денежных средств на основании договоров: </w:t>
                  </w:r>
                </w:p>
                <w:p w:rsidR="00016CC9" w:rsidRPr="00B46C88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Не заключались </w:t>
                  </w:r>
                </w:p>
                <w:p w:rsidR="00016CC9" w:rsidRPr="00B46C88" w:rsidRDefault="00B46C88" w:rsidP="003D56E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 xml:space="preserve">Генеральный директор ООО 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&lt;Норманн</w:t>
                  </w:r>
                  <w:r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-Запад</w:t>
                  </w:r>
                  <w:r w:rsidR="00016CC9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&gt;                   </w:t>
                  </w:r>
                  <w:r w:rsidR="00702F1F" w:rsidRPr="00B46C88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                     </w:t>
                  </w:r>
                  <w:r w:rsidR="003D56E2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Копытин Н.Л.</w:t>
                  </w:r>
                </w:p>
              </w:tc>
            </w:tr>
          </w:tbl>
          <w:p w:rsidR="00016CC9" w:rsidRPr="00B46C88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19"/>
                <w:szCs w:val="19"/>
                <w:lang w:eastAsia="ru-RU"/>
              </w:rPr>
            </w:pPr>
          </w:p>
        </w:tc>
      </w:tr>
    </w:tbl>
    <w:p w:rsidR="003C4AE8" w:rsidRPr="00B46C88" w:rsidRDefault="003C4AE8" w:rsidP="00B46C88">
      <w:pPr>
        <w:pStyle w:val="a3"/>
        <w:ind w:right="-1"/>
        <w:jc w:val="both"/>
        <w:rPr>
          <w:color w:val="auto"/>
          <w:sz w:val="20"/>
          <w:szCs w:val="20"/>
        </w:rPr>
      </w:pPr>
    </w:p>
    <w:sectPr w:rsidR="003C4AE8" w:rsidRPr="00B46C88" w:rsidSect="00FD29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74" w:rsidRDefault="00D57D74" w:rsidP="00055D0E">
      <w:pPr>
        <w:spacing w:after="0" w:line="240" w:lineRule="auto"/>
      </w:pPr>
      <w:r>
        <w:separator/>
      </w:r>
    </w:p>
  </w:endnote>
  <w:endnote w:type="continuationSeparator" w:id="0">
    <w:p w:rsidR="00D57D74" w:rsidRDefault="00D57D74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3B9" w:rsidRDefault="007F4677">
    <w:pPr>
      <w:pStyle w:val="a7"/>
      <w:jc w:val="center"/>
    </w:pPr>
    <w:fldSimple w:instr=" PAGE   \* MERGEFORMAT ">
      <w:r w:rsidR="009D3710">
        <w:rPr>
          <w:noProof/>
        </w:rPr>
        <w:t>1</w:t>
      </w:r>
    </w:fldSimple>
  </w:p>
  <w:p w:rsidR="002503B9" w:rsidRDefault="00250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74" w:rsidRDefault="00D57D74" w:rsidP="00055D0E">
      <w:pPr>
        <w:spacing w:after="0" w:line="240" w:lineRule="auto"/>
      </w:pPr>
      <w:r>
        <w:separator/>
      </w:r>
    </w:p>
  </w:footnote>
  <w:footnote w:type="continuationSeparator" w:id="0">
    <w:p w:rsidR="00D57D74" w:rsidRDefault="00D57D74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FFC"/>
    <w:rsid w:val="00016CC9"/>
    <w:rsid w:val="00021761"/>
    <w:rsid w:val="0002370E"/>
    <w:rsid w:val="00026616"/>
    <w:rsid w:val="000268CA"/>
    <w:rsid w:val="00030AAF"/>
    <w:rsid w:val="00055D0E"/>
    <w:rsid w:val="000648BA"/>
    <w:rsid w:val="000A687A"/>
    <w:rsid w:val="000B4769"/>
    <w:rsid w:val="000C20B9"/>
    <w:rsid w:val="000D0C15"/>
    <w:rsid w:val="000E7861"/>
    <w:rsid w:val="00111A29"/>
    <w:rsid w:val="0011684F"/>
    <w:rsid w:val="00123BC2"/>
    <w:rsid w:val="00186A5B"/>
    <w:rsid w:val="001B01F4"/>
    <w:rsid w:val="001B491B"/>
    <w:rsid w:val="001C26BB"/>
    <w:rsid w:val="001C6C02"/>
    <w:rsid w:val="001E1C2B"/>
    <w:rsid w:val="00237F6A"/>
    <w:rsid w:val="0024796F"/>
    <w:rsid w:val="002503B9"/>
    <w:rsid w:val="00253FFC"/>
    <w:rsid w:val="00264AD6"/>
    <w:rsid w:val="0029250F"/>
    <w:rsid w:val="002A0750"/>
    <w:rsid w:val="002A5E5E"/>
    <w:rsid w:val="002B419E"/>
    <w:rsid w:val="002C5820"/>
    <w:rsid w:val="002E1832"/>
    <w:rsid w:val="002F229D"/>
    <w:rsid w:val="002F64E9"/>
    <w:rsid w:val="00333434"/>
    <w:rsid w:val="003372D1"/>
    <w:rsid w:val="00343E78"/>
    <w:rsid w:val="00347305"/>
    <w:rsid w:val="00350B44"/>
    <w:rsid w:val="00377280"/>
    <w:rsid w:val="0038370C"/>
    <w:rsid w:val="003A48B5"/>
    <w:rsid w:val="003C4AE8"/>
    <w:rsid w:val="003D2DEB"/>
    <w:rsid w:val="003D56E2"/>
    <w:rsid w:val="00402D34"/>
    <w:rsid w:val="00407A98"/>
    <w:rsid w:val="00413CEE"/>
    <w:rsid w:val="0043730C"/>
    <w:rsid w:val="0044466D"/>
    <w:rsid w:val="004614A5"/>
    <w:rsid w:val="004659B3"/>
    <w:rsid w:val="00471E94"/>
    <w:rsid w:val="004854C9"/>
    <w:rsid w:val="004907AA"/>
    <w:rsid w:val="0049409C"/>
    <w:rsid w:val="00497C4D"/>
    <w:rsid w:val="004A23ED"/>
    <w:rsid w:val="004D09A8"/>
    <w:rsid w:val="004F518E"/>
    <w:rsid w:val="005147EB"/>
    <w:rsid w:val="00521E8E"/>
    <w:rsid w:val="0052395D"/>
    <w:rsid w:val="00527274"/>
    <w:rsid w:val="005301DC"/>
    <w:rsid w:val="00564A87"/>
    <w:rsid w:val="00567D7E"/>
    <w:rsid w:val="005703A1"/>
    <w:rsid w:val="00575C4E"/>
    <w:rsid w:val="00577CF4"/>
    <w:rsid w:val="00586531"/>
    <w:rsid w:val="005865AA"/>
    <w:rsid w:val="00587033"/>
    <w:rsid w:val="00592836"/>
    <w:rsid w:val="005A2C75"/>
    <w:rsid w:val="005B4DB3"/>
    <w:rsid w:val="00600F3D"/>
    <w:rsid w:val="00630AA8"/>
    <w:rsid w:val="00631D23"/>
    <w:rsid w:val="0065064D"/>
    <w:rsid w:val="0067562E"/>
    <w:rsid w:val="00691ACB"/>
    <w:rsid w:val="0069364A"/>
    <w:rsid w:val="006A65D5"/>
    <w:rsid w:val="006E70EA"/>
    <w:rsid w:val="006F1615"/>
    <w:rsid w:val="006F2C7E"/>
    <w:rsid w:val="00702F1F"/>
    <w:rsid w:val="00703FAB"/>
    <w:rsid w:val="00707342"/>
    <w:rsid w:val="00715462"/>
    <w:rsid w:val="007306FC"/>
    <w:rsid w:val="00732E61"/>
    <w:rsid w:val="00741560"/>
    <w:rsid w:val="00787F53"/>
    <w:rsid w:val="00790B62"/>
    <w:rsid w:val="007B122B"/>
    <w:rsid w:val="007B7A02"/>
    <w:rsid w:val="007C2201"/>
    <w:rsid w:val="007D2C41"/>
    <w:rsid w:val="007D3E76"/>
    <w:rsid w:val="007D4653"/>
    <w:rsid w:val="007D58B6"/>
    <w:rsid w:val="007F4677"/>
    <w:rsid w:val="00802C86"/>
    <w:rsid w:val="00834C55"/>
    <w:rsid w:val="00854EE6"/>
    <w:rsid w:val="008630AE"/>
    <w:rsid w:val="00877BB5"/>
    <w:rsid w:val="00892EA3"/>
    <w:rsid w:val="008B5181"/>
    <w:rsid w:val="008D56FE"/>
    <w:rsid w:val="008E2A85"/>
    <w:rsid w:val="008F5F84"/>
    <w:rsid w:val="00910620"/>
    <w:rsid w:val="00940F22"/>
    <w:rsid w:val="009529B8"/>
    <w:rsid w:val="00957D53"/>
    <w:rsid w:val="009770C8"/>
    <w:rsid w:val="0099083B"/>
    <w:rsid w:val="009A0290"/>
    <w:rsid w:val="009C5965"/>
    <w:rsid w:val="009D3710"/>
    <w:rsid w:val="009F58ED"/>
    <w:rsid w:val="00A35166"/>
    <w:rsid w:val="00A45F66"/>
    <w:rsid w:val="00A467D5"/>
    <w:rsid w:val="00A67F34"/>
    <w:rsid w:val="00A713A7"/>
    <w:rsid w:val="00A84DC6"/>
    <w:rsid w:val="00AA3499"/>
    <w:rsid w:val="00AC4F10"/>
    <w:rsid w:val="00AD059B"/>
    <w:rsid w:val="00AD4D87"/>
    <w:rsid w:val="00AD5DB7"/>
    <w:rsid w:val="00AE3050"/>
    <w:rsid w:val="00B2264F"/>
    <w:rsid w:val="00B25629"/>
    <w:rsid w:val="00B30DB8"/>
    <w:rsid w:val="00B46C88"/>
    <w:rsid w:val="00B921F0"/>
    <w:rsid w:val="00BB724D"/>
    <w:rsid w:val="00BC1786"/>
    <w:rsid w:val="00BC717C"/>
    <w:rsid w:val="00BE0EFA"/>
    <w:rsid w:val="00BE26B6"/>
    <w:rsid w:val="00BF14D4"/>
    <w:rsid w:val="00C041D8"/>
    <w:rsid w:val="00C13765"/>
    <w:rsid w:val="00C220BF"/>
    <w:rsid w:val="00C55A37"/>
    <w:rsid w:val="00CC66F5"/>
    <w:rsid w:val="00CD1145"/>
    <w:rsid w:val="00CE50A3"/>
    <w:rsid w:val="00CF413A"/>
    <w:rsid w:val="00D20D4F"/>
    <w:rsid w:val="00D41BA3"/>
    <w:rsid w:val="00D46031"/>
    <w:rsid w:val="00D57D74"/>
    <w:rsid w:val="00D731FB"/>
    <w:rsid w:val="00DA65A8"/>
    <w:rsid w:val="00DC1E9A"/>
    <w:rsid w:val="00DC6890"/>
    <w:rsid w:val="00DE1AFD"/>
    <w:rsid w:val="00E12612"/>
    <w:rsid w:val="00E622DD"/>
    <w:rsid w:val="00E734A0"/>
    <w:rsid w:val="00E8131A"/>
    <w:rsid w:val="00E97624"/>
    <w:rsid w:val="00EA0C39"/>
    <w:rsid w:val="00EA469E"/>
    <w:rsid w:val="00EE7B63"/>
    <w:rsid w:val="00EF6291"/>
    <w:rsid w:val="00F0227E"/>
    <w:rsid w:val="00F059B4"/>
    <w:rsid w:val="00F06D7B"/>
    <w:rsid w:val="00F2490D"/>
    <w:rsid w:val="00F6315E"/>
    <w:rsid w:val="00F651B2"/>
    <w:rsid w:val="00F74844"/>
    <w:rsid w:val="00F820D0"/>
    <w:rsid w:val="00FA2CE9"/>
    <w:rsid w:val="00FA3B08"/>
    <w:rsid w:val="00FB1BD0"/>
    <w:rsid w:val="00FD294B"/>
    <w:rsid w:val="00FE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A2D0-F02E-44FD-8CF3-11499DF9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Tsiulina</cp:lastModifiedBy>
  <cp:revision>9</cp:revision>
  <cp:lastPrinted>2013-02-04T07:21:00Z</cp:lastPrinted>
  <dcterms:created xsi:type="dcterms:W3CDTF">2012-08-21T07:26:00Z</dcterms:created>
  <dcterms:modified xsi:type="dcterms:W3CDTF">2013-04-03T09:06:00Z</dcterms:modified>
</cp:coreProperties>
</file>