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17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7"/>
        <w:gridCol w:w="333"/>
      </w:tblGrid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01DC" w:rsidRPr="005301D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01DC" w:rsidRPr="005301DC" w:rsidRDefault="005301DC" w:rsidP="005301DC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4828" w:type="pct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7"/>
            </w:tblGrid>
            <w:tr w:rsidR="005301DC" w:rsidRPr="005301DC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5301DC" w:rsidRPr="005301DC" w:rsidRDefault="005301DC" w:rsidP="005301D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016CC9" w:rsidTr="0001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6CC9" w:rsidRPr="00016CC9" w:rsidRDefault="00016CC9" w:rsidP="00016CC9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B46C88" w:rsidTr="00016CC9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0"/>
            </w:tblGrid>
            <w:tr w:rsidR="00016CC9" w:rsidRPr="00B46C88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Проектная декларация </w:t>
                  </w:r>
                  <w:r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br/>
                    <w:t>по строительству  многоквартирного жилого дома со встроенными помещениями по адресу: Санкт-Петербург, поселок Шушары, Первомайская улица, д. 5, лит. А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(редакция с изменениями от </w:t>
                  </w:r>
                  <w:r w:rsidR="004011A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05</w:t>
                  </w:r>
                  <w:r w:rsidR="005F03D4"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.0</w:t>
                  </w:r>
                  <w:r w:rsidR="004011A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9</w:t>
                  </w:r>
                  <w:r w:rsidR="005F03D4"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.201</w:t>
                  </w:r>
                  <w:r w:rsidR="000B22EF"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2</w:t>
                  </w:r>
                  <w:r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г.)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г. Санкт - Петербург                                                                       20 августа 2010 года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135641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Информация о застройщике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1. Полное наименование застройщика: Общество с ограниченной ответственностью &lt;Норманн-Запад&gt;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1.1. Юридический адрес: 194156, г. Санкт-Петербург, ул. Сердобольская, д. 2-в, лит. А</w:t>
                  </w:r>
                </w:p>
                <w:p w:rsidR="009E02F0" w:rsidRPr="00B46C88" w:rsidRDefault="00A713A7" w:rsidP="009E02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Адрес фактического местонахождения: </w:t>
                  </w:r>
                  <w:r w:rsidR="009E02F0" w:rsidRPr="002B316B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  <w:r w:rsidR="009E02F0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  <w:r w:rsidR="009E02F0" w:rsidRPr="002B316B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, г. Санкт-Петербург, пл. Ал. Невского, д. 2, лит. Е</w:t>
                  </w:r>
                  <w:r w:rsidR="009E02F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1.2. Режим работы застройщика: с 9.30 до 18.00 по будням. Суббота и воскресенье - выходные. 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2. Информация о государственной регистрации застройщика: ООО &lt;Норманн-Запад&gt; зарегистрировано МИФНС № 15 по Санкт-Петербургу, свидетельство о государственной регистрации юридического лица от 11 апреля 2007 года серия 78 № 006047395, основной государственный регистрационный номер 1077847264527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3. Информация об учредителях (участниках) застройщика: Закрытое акционерное общество «Инвестиционно-строительная группа «Норманн» - 100%</w:t>
                  </w:r>
                </w:p>
                <w:p w:rsidR="006828D6" w:rsidRDefault="00A713A7" w:rsidP="006828D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4. </w:t>
                  </w:r>
                  <w:r w:rsidR="006828D6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 </w:t>
                  </w:r>
                  <w:r w:rsidR="006828D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19-этажного </w:t>
                  </w:r>
                  <w:r w:rsidR="006828D6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жило</w:t>
                  </w:r>
                  <w:r w:rsidR="006828D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го</w:t>
                  </w:r>
                  <w:r w:rsidR="006828D6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комплекс</w:t>
                  </w:r>
                  <w:r w:rsidR="006828D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</w:t>
                  </w:r>
                  <w:r w:rsidR="006828D6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со встроено-пристроенными помещениями и подземной автостоянкой  по адресу: Санкт-Петербург, Пушкинский район, поселок </w:t>
                  </w:r>
                  <w:proofErr w:type="spellStart"/>
                  <w:r w:rsidR="006828D6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Шушары</w:t>
                  </w:r>
                  <w:proofErr w:type="spellEnd"/>
                  <w:r w:rsidR="006828D6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Первомайская улица, д. 5, лит. А (корпус 1 – многоквартирный жилой дом)</w:t>
                  </w:r>
                  <w:r w:rsidR="006828D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введен в эксплуатацию 30.12.2011.</w:t>
                  </w:r>
                </w:p>
                <w:p w:rsidR="00A713A7" w:rsidRPr="00135641" w:rsidRDefault="00A713A7" w:rsidP="00A713A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5. </w:t>
                  </w:r>
                  <w:r w:rsidRPr="00135641">
                    <w:rPr>
                      <w:rFonts w:ascii="Verdana" w:eastAsia="Times New Roman" w:hAnsi="Verdana"/>
                      <w:b/>
                      <w:bCs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 </w:t>
                  </w:r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 xml:space="preserve">Нет.  В </w:t>
                  </w:r>
                  <w:proofErr w:type="gramStart"/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соответствии</w:t>
                  </w:r>
                  <w:proofErr w:type="gramEnd"/>
                  <w:r w:rsidRP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 федеральным законом от 08.08.2001 № 128-ФЗ «О лицензировании отдельных видов деятельности» лицензирование деятельности по строительству зданий и сооружений прекращено с 1 января 2010 года. </w:t>
                  </w:r>
                </w:p>
                <w:p w:rsidR="00135641" w:rsidRDefault="00A713A7" w:rsidP="00135641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35641">
                    <w:rPr>
                      <w:color w:val="auto"/>
                      <w:sz w:val="19"/>
                      <w:szCs w:val="19"/>
                    </w:rPr>
                    <w:t>6.</w:t>
                  </w:r>
                  <w:r w:rsidRPr="009F1947">
                    <w:rPr>
                      <w:sz w:val="19"/>
                      <w:szCs w:val="19"/>
                    </w:rPr>
                    <w:t xml:space="preserve"> </w:t>
                  </w:r>
                  <w:r w:rsidR="00135641" w:rsidRPr="005A2C75"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 Финансовый результат текущего года, размер кредиторской задолженности на дату опубликования проектной декларации: </w:t>
                  </w:r>
                  <w:r w:rsidR="00135641">
                    <w:rPr>
                      <w:color w:val="000000"/>
                      <w:sz w:val="20"/>
                      <w:szCs w:val="20"/>
                    </w:rPr>
                    <w:t>Финансовый результат на 30.06.2012 г. составил 961 тыс. руб.</w:t>
                  </w:r>
                </w:p>
                <w:p w:rsidR="00135641" w:rsidRPr="004F492D" w:rsidRDefault="00135641" w:rsidP="00135641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Размер кредиторской задолженности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день опубликования проектной декларации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>составил 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1 324 155 тыс. руб.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Размер </w:t>
                  </w:r>
                  <w:r>
                    <w:rPr>
                      <w:color w:val="000000"/>
                      <w:sz w:val="20"/>
                      <w:szCs w:val="20"/>
                    </w:rPr>
                    <w:t>дебиторской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 задолженности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день опубликования проектной декларации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>составил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180 295 тыс. руб. </w:t>
                  </w:r>
                </w:p>
                <w:p w:rsidR="005F03D4" w:rsidRPr="009F1947" w:rsidRDefault="005F03D4" w:rsidP="0013564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</w:p>
                <w:p w:rsidR="00016CC9" w:rsidRPr="00B46C88" w:rsidRDefault="00A713A7" w:rsidP="00A713A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Информация о проекте строительства </w:t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br/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.1.1. Начало строительства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III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квартал 2010 года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.1.2. Окончание строительства: - </w:t>
                  </w:r>
                  <w:proofErr w:type="gramStart"/>
                  <w:r w:rsidR="007D3E76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</w:t>
                  </w:r>
                  <w:r w:rsidR="00135641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V</w:t>
                  </w:r>
                  <w:r w:rsidR="007D3E76" w:rsidRPr="0011684F">
                    <w:t xml:space="preserve">  </w:t>
                  </w:r>
                  <w:r w:rsidR="007D3E76">
                    <w:t>квартал</w:t>
                  </w:r>
                  <w:proofErr w:type="gramEnd"/>
                  <w:r w:rsidR="007D3E76">
                    <w:t xml:space="preserve"> </w:t>
                  </w:r>
                  <w:r w:rsidR="007D3E76" w:rsidRPr="007D3E76">
                    <w:t>201</w:t>
                  </w:r>
                  <w:r w:rsidR="00135641" w:rsidRPr="002C3D2F">
                    <w:t>2</w:t>
                  </w:r>
                  <w:r w:rsidR="007D3E76">
                    <w:t xml:space="preserve"> года</w:t>
                  </w:r>
                  <w:r w:rsidR="007D3E76" w:rsidRPr="008E154A">
                    <w:rPr>
                      <w:i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</w:p>
                <w:p w:rsidR="00016CC9" w:rsidRPr="00B46C88" w:rsidRDefault="00BE26B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Результаты проведения государственной экспертизы проектной документации: Положительное заключение Управления государственной экспертизы 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№ 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172-1-2010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>30.07.2010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BE26B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Разрешение на строительство №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78-16006120-2010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 августа 2010 года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выдано Службой Государственного строительного надзора и экспертизы Санкт-Петербурга. Срок действия разрешения - 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д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декабря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201</w:t>
                  </w:r>
                  <w:r w:rsidR="0013564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года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0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Информация о правах застройщика на земельный участок: </w:t>
                  </w:r>
                </w:p>
                <w:p w:rsidR="0065064D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Земельный участок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принадлежит застройщику 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праве собственности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основании Договора купли-продажи недвижимого имущества от 25.07.2007,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что подтверждается Свидетельством о государственной регистрации права от 05.05.2009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бланке серии 78-АД № 103516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P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 Информация о границах, площади и кадастровом номере земельного участка</w:t>
                  </w:r>
                  <w:r w:rsidR="0071546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Земельный участок площадью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12827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кв.м., кадастровый номер - № 78: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42:15106:19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ограничен: </w:t>
                  </w:r>
                </w:p>
                <w:p w:rsidR="00016CC9" w:rsidRPr="00B46C88" w:rsidRDefault="0065064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с севера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продолжением ул. Первомайская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;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с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востока – ул. Школьная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 запада – внутриквартальной жилой застройкой ул. Пушкинской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;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 юга – внутриквартальным проездом и территорией детского сада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Элементы благоустройства: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Проектом предусмотрено благоустройство </w:t>
                  </w:r>
                  <w:r w:rsidR="00343E7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участка: проезды и автостоянки с двухслойным асфальтобетонным покрытием, тротуары с плиточным покрытием, отмостка, устройство газона с посадкой деревьев и кустов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="00343E7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эксплуатируемой кровле запроектированы площадка отдыха и пешеходные дорожки с набивным покрытием, проезд с асфальтобетонным покрытием, тротуары с плиточным покрытием, газон с учетом конструкции кровли а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</w:t>
                  </w:r>
                  <w:r w:rsidR="00343E7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тостоянки.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Местоположение строящегося </w:t>
                  </w:r>
                  <w:r w:rsidR="00CF413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объекта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413CEE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Строящийся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объект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расположен по адресу: </w:t>
                  </w:r>
                  <w:r w:rsidR="00413CEE"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413CEE" w:rsidRP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Санкт-Петербург, поселок Шушары, Первомайская улица, д. 5, лит. А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Ближайш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ие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станци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метро 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Звездная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Купчино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Количество в составе строящегося </w:t>
                  </w:r>
                  <w:r w:rsidR="00CF413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объекта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самостоятельных частей (квартир, гаражей и иных объектов недвижимости), 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 также описание технических характеристик указанных самостоятельных частей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B46C88" w:rsidRDefault="0002661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14.1.</w:t>
                  </w: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834C5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Многоквартирный ж</w:t>
                  </w:r>
                  <w:r w:rsidR="00600F3D" w:rsidRPr="00600F3D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илой дом – корпус 1.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Общая площадь здания 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8855,2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кв.м.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Общая площадь квартир – 7157,28 кв.м.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Общее количество квартир - 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223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шт., в том числе: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однокомнатные - 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204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двухкомнатные - 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15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трёхкомнатные - 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E622DD" w:rsidRPr="00B46C88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Характеристики квартир: </w:t>
                  </w:r>
                </w:p>
                <w:p w:rsidR="00E622DD" w:rsidRPr="00026616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1-комнатные от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25,66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до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36,57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(с учетом балконов/лоджий); </w:t>
                  </w:r>
                </w:p>
                <w:p w:rsidR="00E622DD" w:rsidRPr="00026616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2-комнатные от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53,08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до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53,08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(с учетом балконов/лоджий); </w:t>
                  </w:r>
                </w:p>
                <w:p w:rsidR="00E622DD" w:rsidRPr="00026616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 xml:space="preserve">3-комнатные от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88,82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до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89,97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кв. м. (с учетом балконов/лоджий). </w:t>
                  </w:r>
                </w:p>
                <w:p w:rsidR="0024796F" w:rsidRDefault="00834C5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Многоквартирный ж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илой дом – односекционный, прямоугольный в плане, имеет </w:t>
                  </w:r>
                  <w:r w:rsidRPr="00834C5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подвал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19 надземных этажей, технический 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этаж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24796F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В </w:t>
                  </w:r>
                  <w:r w:rsidR="00834C5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подвале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расположены </w:t>
                  </w:r>
                  <w:r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помещения ТСЖ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230,7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помещения для размещения инженерного оборудования и прокладки инженерных сетей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86,49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24796F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первом этаже расположены квартиры, входной вестибюль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11,85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кладовая уборочного инвентаря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7,39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мусоросборная камера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9,35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кв.м),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электрощитовая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14,36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24796F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 второго по девятнадцатый этажи расположены квартиры.</w:t>
                  </w:r>
                </w:p>
                <w:p w:rsidR="0024796F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Технический 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этаж</w:t>
                  </w:r>
                  <w:r w:rsidR="00BE0EF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BE0EFA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460,15</w:t>
                  </w:r>
                  <w:r w:rsidR="00BE0EFA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BE0EF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предназначен для прокладки инженерных сетей. </w:t>
                  </w:r>
                </w:p>
                <w:p w:rsidR="0024796F" w:rsidRDefault="0002661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14.2.</w:t>
                  </w: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24796F" w:rsidRPr="0024796F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Подземная автостоянка (корпус 2)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– отдельностоящая, одноэтажная, закрытого типа, отапливаемая, на </w:t>
                  </w:r>
                  <w:r w:rsidR="004011A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96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spellStart"/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машиномест</w:t>
                  </w:r>
                  <w:proofErr w:type="spellEnd"/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предназначенная для хранения автомобилей жителей дома. В объеме автостоянки предусмо</w:t>
                  </w:r>
                  <w:r w:rsidR="00CD114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рены: помещение для хранения автомобилей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2766,0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</w:t>
                  </w:r>
                  <w:proofErr w:type="gramStart"/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кладовая уборочного инвентаря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4,4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 w:rsidR="00CD114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 w:rsidR="00992C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помещение уборочной техники (4,4 кв.м),</w:t>
                  </w:r>
                  <w:r w:rsidR="00CD114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помещения для размещения инженерного оборудования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139,5</w:t>
                  </w:r>
                  <w:r w:rsidR="007306FC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кв.м)</w:t>
                  </w:r>
                  <w:r w:rsidR="00CD114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790B62" w:rsidRDefault="00790B62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Общая площадь –</w:t>
                  </w:r>
                  <w:r w:rsidR="00FB1BD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2766,0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кв.м</w:t>
                  </w:r>
                </w:p>
                <w:p w:rsidR="00790B62" w:rsidRDefault="00790B62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Количество </w:t>
                  </w:r>
                  <w:proofErr w:type="spell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машиномест</w:t>
                  </w:r>
                  <w:proofErr w:type="spell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– </w:t>
                  </w:r>
                  <w:r w:rsidR="004011A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96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CD1145" w:rsidRDefault="00CD114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Функциональное назначение нежилых помещений в многоквартирном доме, не входящих в состав общего имущества в доме: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нет.</w:t>
                  </w:r>
                </w:p>
                <w:p w:rsidR="00016CC9" w:rsidRPr="00026616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6.</w:t>
                  </w:r>
                  <w:r w:rsidRPr="0099083B">
                    <w:rPr>
                      <w:rFonts w:ascii="Verdana" w:eastAsia="Times New Roman" w:hAnsi="Verdana"/>
                      <w:i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Состав общего имущества в многоквартирном доме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и в подземной автостоянке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строительства.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 Лестницы, в т.ч. эвакуационные; </w:t>
                  </w:r>
                </w:p>
                <w:p w:rsidR="00016CC9" w:rsidRPr="00026616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.2. Вестибюли, лифтовые холлы, переходы, </w:t>
                  </w:r>
                  <w:r w:rsidR="00BE0EF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технический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A3B0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этаж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подвал; </w:t>
                  </w:r>
                </w:p>
                <w:p w:rsidR="007D3E76" w:rsidRDefault="00016CC9" w:rsidP="00B46C8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.3. Вспомогательные (технические) площади, обеспечивающие эксплуатацию здания - индивидуальный тепловой узел, водомерный узел, венткамеры, лифтовые шахты, машинные помещения лифтов, коммуникационные шахты и коммуникационные коридоры, 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крышная газовая котельная,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мусороприемная камера и пр.;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.4. Внутридомовые системы и оборудование, обеспечивающие эксплуатацию здания: системы отопления, ВиК, электроосвещение, сети связи и телекоммуникаций, лифты, насосная станция, система дымоудаления, мусоропровод и пр.;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.5. 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нутриплощадочные инженерные сети и инженерные объекты (или части объектов), обеспечивающие устойчивую эксплуатацию площадей: теплоснабжение, электроснабжение, водоснабжение (ввод питьевого водопровода от магистрали до водомерного узла, водомерный узел, противопожарный водопровод), канализация, телекоммуникации.</w:t>
                  </w:r>
                </w:p>
                <w:p w:rsidR="00026616" w:rsidRDefault="007D3E76" w:rsidP="00B46C8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16.6. 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DA65A8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DA65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</w:t>
                  </w:r>
                  <w:r w:rsidR="00DA65A8"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омещения ТСЖ,</w:t>
                  </w:r>
                  <w:r w:rsidR="00DA65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помещения для размещения инженерного оборудования и прокладки инженерных сетей,  входной вестибюль, кладовая уборочного инвентаря, мусоросборная камера, электрощитовая.</w:t>
                  </w:r>
                </w:p>
                <w:p w:rsidR="00AD059B" w:rsidRDefault="00026616" w:rsidP="00AD05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16.</w:t>
                  </w:r>
                  <w:r w:rsidR="00DA65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В подземной автостоянке: </w:t>
                  </w:r>
                  <w:r w:rsidR="00AD059B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кладовая уборочного инвентаря, помещения для размещения инженерного оборудования.</w:t>
                  </w:r>
                </w:p>
                <w:p w:rsidR="00016CC9" w:rsidRPr="00B46C88" w:rsidRDefault="00026616" w:rsidP="00AD059B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Предполагаемый срок получения разрешения на ввод в эксплуатацию строящегося многоквартирного дома: </w:t>
                  </w:r>
                </w:p>
                <w:p w:rsidR="00016CC9" w:rsidRPr="00B46C88" w:rsidRDefault="00910620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91062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>II  квартал 2011 года</w:t>
                  </w:r>
                  <w:r w:rsidR="00A101B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</w:p>
                <w:p w:rsidR="00A101BD" w:rsidRDefault="00A101B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Предполагаемый срок получения разрешения на ввод в эксплуатацию строяще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йся подземной автостоянки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:</w:t>
                  </w:r>
                </w:p>
                <w:p w:rsidR="00A101BD" w:rsidRDefault="00A101BD" w:rsidP="00A101B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IV</w:t>
                  </w:r>
                  <w:r w:rsidRPr="002C3D2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квартал</w:t>
                  </w:r>
                  <w:proofErr w:type="gram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2012 года.</w:t>
                  </w:r>
                </w:p>
                <w:p w:rsidR="00016CC9" w:rsidRPr="00B46C88" w:rsidRDefault="00016CC9" w:rsidP="00A101B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Заказчик -  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&lt;Норманн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-Заказчик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Проектировщик - ООО &lt;</w:t>
                  </w:r>
                  <w:r w:rsidR="00C55A37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Архитектурная мастерская Цехомского В.В.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Генеральный подрядчик - 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 &lt;</w:t>
                  </w:r>
                  <w:r w:rsidR="00592836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Норманн-Строй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7D465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Эксплуатирующая организация - юридическое или физическое лицо, избранное в установленном порядке домовладельцами многоквартирного дома для экс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плуатации многоквартирного дома;</w:t>
                  </w:r>
                </w:p>
                <w:p w:rsidR="007D465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Территориальное управление 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Пушкинского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администра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тивного района Санкт-Петербурга;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Служба государственного строительного надзора Санкт-Петербурга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Возможные финансовые и прочие риски при осуществлении проекта строительства: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      </w:r>
                </w:p>
                <w:p w:rsidR="00016CC9" w:rsidRPr="00B46C88" w:rsidRDefault="009F58E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.2. Риск гражданской ответственности за причинение вреда жизни, здоровью и имуществу третьих лиц при осуществлении строительства; </w:t>
                  </w:r>
                </w:p>
                <w:p w:rsidR="00016CC9" w:rsidRPr="00B46C88" w:rsidRDefault="009F58E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.3. Риск случайной гибели или случайного повреждения результата выполненных работ;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2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0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Планируемая стоимость строительства комплекса: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Согласно смете существующего проекта строительства 412 995 075 (Четыреста двенадцать миллионов девятьсот девяносто пять тысяч семьдесят пять) рублей.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Перечень организаций, осуществляющих основные строительно-монтажные и другие работы: </w:t>
                  </w:r>
                </w:p>
                <w:p w:rsidR="0023043C" w:rsidRPr="00B46C88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Статика Инжиниринг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- устройство свайного основания под фундамент </w:t>
                  </w:r>
                </w:p>
                <w:p w:rsidR="0023043C" w:rsidRPr="00B46C88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Строй СПб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- земляные работы </w:t>
                  </w:r>
                </w:p>
                <w:p w:rsidR="0023043C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ООО &lt;Северная высота&gt; -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аренда башенн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ых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кран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ов</w:t>
                  </w:r>
                </w:p>
                <w:p w:rsidR="0023043C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ПСК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-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устройство монолитного </w:t>
                  </w:r>
                  <w:proofErr w:type="gram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ж/б</w:t>
                  </w:r>
                  <w:proofErr w:type="gram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каркаса</w:t>
                  </w:r>
                </w:p>
                <w:p w:rsidR="0023043C" w:rsidRPr="003D56E2" w:rsidRDefault="0023043C" w:rsidP="0023043C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"СК Квартет-Строй"- устройство внутренних инженерных сетей отопления, вентиляции, водопровода и канализации</w:t>
                  </w:r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Меликонполар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- устройство внутренних стен</w:t>
                  </w:r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>ООО "Петербургская Строительная Компания", 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ВестПром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- устройство наружных стен</w:t>
                  </w:r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СевЗапГазСтрой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" - устройство подводящего газопровода, 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крышных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котельных</w:t>
                  </w:r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ООО "Сигнал" - устройство внутренних слаботочных систем и автоматики 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пожаротужения</w:t>
                  </w:r>
                  <w:proofErr w:type="spellEnd"/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"ПКФ ЛУЧ", 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Главэлектрострой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устройство внутренних сетей электроснабжения</w:t>
                  </w:r>
                </w:p>
                <w:p w:rsidR="0023043C" w:rsidRPr="003D56E2" w:rsidRDefault="0023043C" w:rsidP="002304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"Козерог" - остекление</w:t>
                  </w:r>
                  <w:r w:rsidRPr="003D56E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Способ обеспечения исполнения обязательств застройщика по договору: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Залог земельного участка, предоставленного для строительства (создания) многоквартирного дома, принадлежащего застройщику на праве </w:t>
                  </w:r>
                  <w:r w:rsidR="007B302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собственности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 &lt;Об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Федерации&gt;.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Не заключались </w:t>
                  </w:r>
                </w:p>
                <w:p w:rsidR="00016CC9" w:rsidRPr="00B46C88" w:rsidRDefault="00B46C88" w:rsidP="002C3D2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Генеральный директор ООО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&lt;Норманн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-Запад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                   </w:t>
                  </w:r>
                  <w:r w:rsidR="00702F1F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                     </w:t>
                  </w:r>
                  <w:r w:rsidR="002C3D2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Копытин Н.Л.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</w:tr>
          </w:tbl>
          <w:p w:rsidR="00016CC9" w:rsidRPr="00B46C88" w:rsidRDefault="00016CC9" w:rsidP="00B46C88">
            <w:pPr>
              <w:spacing w:after="0" w:line="240" w:lineRule="auto"/>
              <w:jc w:val="both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3C4AE8" w:rsidRPr="00B46C88" w:rsidRDefault="003C4AE8" w:rsidP="00B46C88">
      <w:pPr>
        <w:pStyle w:val="a3"/>
        <w:ind w:right="-1"/>
        <w:jc w:val="both"/>
        <w:rPr>
          <w:color w:val="auto"/>
          <w:sz w:val="20"/>
          <w:szCs w:val="20"/>
        </w:rPr>
      </w:pPr>
    </w:p>
    <w:sectPr w:rsidR="003C4AE8" w:rsidRPr="00B46C88" w:rsidSect="00FD29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C6" w:rsidRDefault="006B05C6" w:rsidP="00055D0E">
      <w:pPr>
        <w:spacing w:after="0" w:line="240" w:lineRule="auto"/>
      </w:pPr>
      <w:r>
        <w:separator/>
      </w:r>
    </w:p>
  </w:endnote>
  <w:endnote w:type="continuationSeparator" w:id="0">
    <w:p w:rsidR="006B05C6" w:rsidRDefault="006B05C6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0E" w:rsidRDefault="00400CF0">
    <w:pPr>
      <w:pStyle w:val="a7"/>
      <w:jc w:val="center"/>
    </w:pPr>
    <w:fldSimple w:instr=" PAGE   \* MERGEFORMAT ">
      <w:r w:rsidR="004011A1">
        <w:rPr>
          <w:noProof/>
        </w:rPr>
        <w:t>2</w:t>
      </w:r>
    </w:fldSimple>
  </w:p>
  <w:p w:rsidR="00055D0E" w:rsidRDefault="00055D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C6" w:rsidRDefault="006B05C6" w:rsidP="00055D0E">
      <w:pPr>
        <w:spacing w:after="0" w:line="240" w:lineRule="auto"/>
      </w:pPr>
      <w:r>
        <w:separator/>
      </w:r>
    </w:p>
  </w:footnote>
  <w:footnote w:type="continuationSeparator" w:id="0">
    <w:p w:rsidR="006B05C6" w:rsidRDefault="006B05C6" w:rsidP="0005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FFC"/>
    <w:rsid w:val="00016CC9"/>
    <w:rsid w:val="0002370E"/>
    <w:rsid w:val="00026616"/>
    <w:rsid w:val="000268CA"/>
    <w:rsid w:val="00030AAF"/>
    <w:rsid w:val="00055D0E"/>
    <w:rsid w:val="00064955"/>
    <w:rsid w:val="00084506"/>
    <w:rsid w:val="000B22EF"/>
    <w:rsid w:val="000D0C15"/>
    <w:rsid w:val="0011684F"/>
    <w:rsid w:val="00135641"/>
    <w:rsid w:val="00186A5B"/>
    <w:rsid w:val="001E1C2B"/>
    <w:rsid w:val="0023043C"/>
    <w:rsid w:val="0024796F"/>
    <w:rsid w:val="002502AA"/>
    <w:rsid w:val="00253FFC"/>
    <w:rsid w:val="00264AD6"/>
    <w:rsid w:val="002A0750"/>
    <w:rsid w:val="002C3D2F"/>
    <w:rsid w:val="002C5820"/>
    <w:rsid w:val="002F229D"/>
    <w:rsid w:val="002F64E9"/>
    <w:rsid w:val="00333434"/>
    <w:rsid w:val="003372D1"/>
    <w:rsid w:val="00343E78"/>
    <w:rsid w:val="00350B44"/>
    <w:rsid w:val="00377280"/>
    <w:rsid w:val="0038370C"/>
    <w:rsid w:val="003C4AE8"/>
    <w:rsid w:val="00400CF0"/>
    <w:rsid w:val="004011A1"/>
    <w:rsid w:val="00407A98"/>
    <w:rsid w:val="00413CEE"/>
    <w:rsid w:val="004614A5"/>
    <w:rsid w:val="004659B3"/>
    <w:rsid w:val="004854C9"/>
    <w:rsid w:val="004907AA"/>
    <w:rsid w:val="00521E8E"/>
    <w:rsid w:val="0052395D"/>
    <w:rsid w:val="00527274"/>
    <w:rsid w:val="005301DC"/>
    <w:rsid w:val="00564A87"/>
    <w:rsid w:val="005703A1"/>
    <w:rsid w:val="00575C4E"/>
    <w:rsid w:val="00577CF4"/>
    <w:rsid w:val="005865AA"/>
    <w:rsid w:val="00587033"/>
    <w:rsid w:val="00592836"/>
    <w:rsid w:val="005A2C75"/>
    <w:rsid w:val="005F03D4"/>
    <w:rsid w:val="00600F3D"/>
    <w:rsid w:val="00630AA8"/>
    <w:rsid w:val="00631D23"/>
    <w:rsid w:val="0065064D"/>
    <w:rsid w:val="0067562E"/>
    <w:rsid w:val="006828D6"/>
    <w:rsid w:val="006B05C6"/>
    <w:rsid w:val="006F1615"/>
    <w:rsid w:val="00702F1F"/>
    <w:rsid w:val="00703FAB"/>
    <w:rsid w:val="00707342"/>
    <w:rsid w:val="00715462"/>
    <w:rsid w:val="007306FC"/>
    <w:rsid w:val="00732E61"/>
    <w:rsid w:val="00741560"/>
    <w:rsid w:val="00787F53"/>
    <w:rsid w:val="00790B62"/>
    <w:rsid w:val="007939E3"/>
    <w:rsid w:val="007B3021"/>
    <w:rsid w:val="007B7A02"/>
    <w:rsid w:val="007D2C41"/>
    <w:rsid w:val="007D3E76"/>
    <w:rsid w:val="007D4653"/>
    <w:rsid w:val="007D58B6"/>
    <w:rsid w:val="007F2C0F"/>
    <w:rsid w:val="00802C86"/>
    <w:rsid w:val="00834C55"/>
    <w:rsid w:val="008422DD"/>
    <w:rsid w:val="00854EE6"/>
    <w:rsid w:val="008552D8"/>
    <w:rsid w:val="00877BB5"/>
    <w:rsid w:val="008A5FA6"/>
    <w:rsid w:val="008E2A85"/>
    <w:rsid w:val="008E66BF"/>
    <w:rsid w:val="008F5F84"/>
    <w:rsid w:val="00906E60"/>
    <w:rsid w:val="00910620"/>
    <w:rsid w:val="009529B8"/>
    <w:rsid w:val="009770C8"/>
    <w:rsid w:val="0099083B"/>
    <w:rsid w:val="00992CE2"/>
    <w:rsid w:val="009A0290"/>
    <w:rsid w:val="009E02F0"/>
    <w:rsid w:val="009F58ED"/>
    <w:rsid w:val="00A101BD"/>
    <w:rsid w:val="00A45F66"/>
    <w:rsid w:val="00A67F34"/>
    <w:rsid w:val="00A713A7"/>
    <w:rsid w:val="00A84DC6"/>
    <w:rsid w:val="00AA3499"/>
    <w:rsid w:val="00AD059B"/>
    <w:rsid w:val="00AD4D87"/>
    <w:rsid w:val="00B2264F"/>
    <w:rsid w:val="00B30DB8"/>
    <w:rsid w:val="00B46C88"/>
    <w:rsid w:val="00B921F0"/>
    <w:rsid w:val="00BB724D"/>
    <w:rsid w:val="00BC1786"/>
    <w:rsid w:val="00BC717C"/>
    <w:rsid w:val="00BE0EFA"/>
    <w:rsid w:val="00BE26B6"/>
    <w:rsid w:val="00BF14D4"/>
    <w:rsid w:val="00C13765"/>
    <w:rsid w:val="00C220BF"/>
    <w:rsid w:val="00C55A37"/>
    <w:rsid w:val="00CB7C0F"/>
    <w:rsid w:val="00CD1145"/>
    <w:rsid w:val="00CD4529"/>
    <w:rsid w:val="00CE50A3"/>
    <w:rsid w:val="00CE72FF"/>
    <w:rsid w:val="00CF3A3D"/>
    <w:rsid w:val="00CF413A"/>
    <w:rsid w:val="00D27422"/>
    <w:rsid w:val="00D41BA3"/>
    <w:rsid w:val="00D46031"/>
    <w:rsid w:val="00D731FB"/>
    <w:rsid w:val="00DA65A8"/>
    <w:rsid w:val="00DE1AFD"/>
    <w:rsid w:val="00E12612"/>
    <w:rsid w:val="00E622DD"/>
    <w:rsid w:val="00E97624"/>
    <w:rsid w:val="00EA469E"/>
    <w:rsid w:val="00ED3930"/>
    <w:rsid w:val="00EE429D"/>
    <w:rsid w:val="00EF6291"/>
    <w:rsid w:val="00F0227E"/>
    <w:rsid w:val="00F059B4"/>
    <w:rsid w:val="00F2490D"/>
    <w:rsid w:val="00F6315E"/>
    <w:rsid w:val="00F820D0"/>
    <w:rsid w:val="00FA3B08"/>
    <w:rsid w:val="00FB1BD0"/>
    <w:rsid w:val="00FB1E21"/>
    <w:rsid w:val="00FD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FFC"/>
    <w:pPr>
      <w:spacing w:before="100" w:beforeAutospacing="1" w:after="100" w:afterAutospacing="1" w:line="240" w:lineRule="auto"/>
    </w:pPr>
    <w:rPr>
      <w:rFonts w:ascii="Verdana" w:eastAsia="Times New Roman" w:hAnsi="Verdana"/>
      <w:color w:val="7E898D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253F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5D0E"/>
  </w:style>
  <w:style w:type="paragraph" w:styleId="a7">
    <w:name w:val="footer"/>
    <w:basedOn w:val="a"/>
    <w:link w:val="a8"/>
    <w:uiPriority w:val="99"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495C-4C01-4F22-B611-A073286B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NORMANN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Коллина</dc:creator>
  <cp:lastModifiedBy>Tsiulina</cp:lastModifiedBy>
  <cp:revision>12</cp:revision>
  <cp:lastPrinted>2012-08-21T12:45:00Z</cp:lastPrinted>
  <dcterms:created xsi:type="dcterms:W3CDTF">2012-08-21T12:41:00Z</dcterms:created>
  <dcterms:modified xsi:type="dcterms:W3CDTF">2012-09-07T07:52:00Z</dcterms:modified>
</cp:coreProperties>
</file>