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6B" w:rsidRDefault="00A75A6B">
      <w:pPr>
        <w:spacing w:line="274" w:lineRule="exact"/>
        <w:ind w:left="86"/>
        <w:jc w:val="center"/>
        <w:rPr>
          <w:b/>
          <w:bCs/>
          <w:color w:val="000000"/>
          <w:sz w:val="28"/>
          <w:szCs w:val="28"/>
        </w:rPr>
      </w:pPr>
    </w:p>
    <w:p w:rsidR="00A75A6B" w:rsidRDefault="00A75A6B">
      <w:pPr>
        <w:spacing w:line="274" w:lineRule="exact"/>
        <w:ind w:left="86"/>
        <w:jc w:val="center"/>
        <w:rPr>
          <w:b/>
          <w:bCs/>
          <w:color w:val="000000"/>
          <w:sz w:val="28"/>
          <w:szCs w:val="28"/>
        </w:rPr>
      </w:pPr>
    </w:p>
    <w:p w:rsidR="00A75A6B" w:rsidRDefault="00051DEC">
      <w:pPr>
        <w:spacing w:line="274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ПРОЕКТНАЯ ДЕКЛАРАЦИЯ</w:t>
      </w:r>
    </w:p>
    <w:p w:rsidR="00A75A6B" w:rsidRDefault="00051DEC">
      <w:pPr>
        <w:spacing w:line="274" w:lineRule="exact"/>
        <w:ind w:left="2506" w:right="1728" w:hanging="67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строительства жилого комплекса Московский проспект,97а 3-я очередь строительства, с нежилыми помещениями общественно-коммерческого назначения, инженерными сетями жизнеобеспечения</w:t>
      </w:r>
    </w:p>
    <w:p w:rsidR="00A75A6B" w:rsidRDefault="00051DEC">
      <w:pPr>
        <w:spacing w:line="274" w:lineRule="exact"/>
        <w:ind w:left="2506" w:right="1728" w:hanging="67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адресу: г. Воронеж, ул. Генерала Лизюкова,2-б   </w:t>
      </w:r>
    </w:p>
    <w:p w:rsidR="00A75A6B" w:rsidRDefault="00051DEC">
      <w:pPr>
        <w:jc w:val="center"/>
      </w:pPr>
      <w:r>
        <w:t>Информация о Застройщике</w:t>
      </w:r>
    </w:p>
    <w:p w:rsidR="00A75A6B" w:rsidRDefault="00A75A6B">
      <w:pPr>
        <w:jc w:val="center"/>
      </w:pPr>
    </w:p>
    <w:tbl>
      <w:tblPr>
        <w:tblW w:w="10800" w:type="dxa"/>
        <w:tblInd w:w="-5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0"/>
        <w:gridCol w:w="5940"/>
      </w:tblGrid>
      <w:tr w:rsidR="00A75A6B">
        <w:trPr>
          <w:trHeight w:val="75"/>
        </w:trPr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Фирменное наименование  и местонахождение Застройщика</w:t>
            </w:r>
          </w:p>
        </w:tc>
        <w:tc>
          <w:tcPr>
            <w:tcW w:w="5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</w:pPr>
            <w:r>
              <w:t>Общество с ограниченной ответственностью «Инвестиционная строительная фирма «</w:t>
            </w:r>
            <w:proofErr w:type="spellStart"/>
            <w:r>
              <w:t>Стэл</w:t>
            </w:r>
            <w:proofErr w:type="spellEnd"/>
            <w:r>
              <w:t>» (сокращенное наименование ООО «</w:t>
            </w:r>
            <w:proofErr w:type="spellStart"/>
            <w:r>
              <w:t>Стэл-инвест</w:t>
            </w:r>
            <w:proofErr w:type="spellEnd"/>
            <w:r>
              <w:t>»)</w:t>
            </w:r>
          </w:p>
        </w:tc>
      </w:tr>
      <w:tr w:rsidR="00A75A6B">
        <w:tc>
          <w:tcPr>
            <w:tcW w:w="48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spacing w:line="446" w:lineRule="exac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 xml:space="preserve">Юридический адрес  </w:t>
            </w:r>
          </w:p>
          <w:p w:rsidR="00A75A6B" w:rsidRDefault="00051DEC">
            <w:pPr>
              <w:spacing w:line="446" w:lineRule="exac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 xml:space="preserve">Фактический адрес </w:t>
            </w:r>
          </w:p>
          <w:p w:rsidR="00A75A6B" w:rsidRDefault="00A75A6B">
            <w:pPr>
              <w:spacing w:line="446" w:lineRule="exact"/>
              <w:rPr>
                <w:b/>
                <w:color w:val="000000"/>
                <w:sz w:val="23"/>
              </w:rPr>
            </w:pPr>
          </w:p>
          <w:p w:rsidR="00A75A6B" w:rsidRDefault="00051DEC">
            <w:pPr>
              <w:spacing w:line="446" w:lineRule="exac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Телефон</w:t>
            </w:r>
          </w:p>
        </w:tc>
        <w:tc>
          <w:tcPr>
            <w:tcW w:w="59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spacing w:line="44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394077, г. Воронеж, Московский проспект, 109А офис 1</w:t>
            </w:r>
          </w:p>
          <w:p w:rsidR="00A75A6B" w:rsidRDefault="00051DEC">
            <w:pPr>
              <w:spacing w:line="44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394077, г. Воронеж, Московский проспект, 109А офис1</w:t>
            </w:r>
          </w:p>
          <w:p w:rsidR="00A75A6B" w:rsidRDefault="00051DEC">
            <w:pPr>
              <w:spacing w:line="44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(Бизнес — центр «</w:t>
            </w:r>
            <w:proofErr w:type="spellStart"/>
            <w:r>
              <w:rPr>
                <w:color w:val="000000"/>
              </w:rPr>
              <w:t>Стэл</w:t>
            </w:r>
            <w:proofErr w:type="spellEnd"/>
            <w:r>
              <w:rPr>
                <w:color w:val="000000"/>
              </w:rPr>
              <w:t>»)</w:t>
            </w:r>
          </w:p>
          <w:p w:rsidR="00A75A6B" w:rsidRDefault="00051DEC">
            <w:pPr>
              <w:spacing w:line="44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(4732) 25-30-76,  (4732) 25-08-34</w:t>
            </w:r>
          </w:p>
        </w:tc>
      </w:tr>
      <w:tr w:rsidR="00A75A6B">
        <w:tc>
          <w:tcPr>
            <w:tcW w:w="48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spacing w:before="166" w:line="281" w:lineRule="exac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Режим работы застройщика</w:t>
            </w:r>
          </w:p>
        </w:tc>
        <w:tc>
          <w:tcPr>
            <w:tcW w:w="59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spacing w:before="166" w:line="281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 8.00 до 17.00 ежедневно, кроме выходных: суббота, воскресенье, перерыв – с 12.00 до 13.00</w:t>
            </w:r>
          </w:p>
        </w:tc>
      </w:tr>
    </w:tbl>
    <w:p w:rsidR="00A75A6B" w:rsidRDefault="00051DEC">
      <w:pPr>
        <w:pStyle w:val="ad"/>
        <w:spacing w:line="100" w:lineRule="atLeast"/>
        <w:jc w:val="center"/>
        <w:rPr>
          <w:b/>
          <w:bCs/>
        </w:rPr>
      </w:pPr>
      <w:r>
        <w:rPr>
          <w:b/>
          <w:bCs/>
        </w:rPr>
        <w:t>Данные о государственной регистрации Застройщика</w:t>
      </w:r>
    </w:p>
    <w:tbl>
      <w:tblPr>
        <w:tblW w:w="10725" w:type="dxa"/>
        <w:tblInd w:w="-50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0"/>
        <w:gridCol w:w="5895"/>
      </w:tblGrid>
      <w:tr w:rsidR="00A75A6B">
        <w:tc>
          <w:tcPr>
            <w:tcW w:w="4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pStyle w:val="ad"/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Данные о государственной </w:t>
            </w:r>
          </w:p>
          <w:p w:rsidR="00A75A6B" w:rsidRDefault="00051DEC">
            <w:pPr>
              <w:pStyle w:val="ad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регистрации</w:t>
            </w:r>
          </w:p>
        </w:tc>
        <w:tc>
          <w:tcPr>
            <w:tcW w:w="5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pStyle w:val="ad"/>
              <w:snapToGrid w:val="0"/>
              <w:spacing w:after="283"/>
            </w:pPr>
            <w:r>
              <w:t>Свидетельство о государственной регистрации юридического лица № 117532 от 21 апреля 2000 г. Выдано администрацией г. Воронежа 24.04.2000г.</w:t>
            </w:r>
          </w:p>
          <w:p w:rsidR="00A75A6B" w:rsidRDefault="00051DEC">
            <w:pPr>
              <w:pStyle w:val="ad"/>
              <w:snapToGrid w:val="0"/>
              <w:spacing w:after="283"/>
            </w:pPr>
            <w:r>
              <w:t xml:space="preserve">Форма № Р50003 - СВИДЕТЕЛЬСТВО о внесении записи в Единый государственный реестр юридических лиц о юридическом </w:t>
            </w:r>
            <w:proofErr w:type="gramStart"/>
            <w:r>
              <w:t>лице ,</w:t>
            </w:r>
            <w:proofErr w:type="gramEnd"/>
            <w:r>
              <w:t xml:space="preserve"> серия 36 №003375961 ОГРН1033600035820 от 01.12.2009г</w:t>
            </w:r>
          </w:p>
          <w:p w:rsidR="00A75A6B" w:rsidRDefault="00051DEC">
            <w:pPr>
              <w:pStyle w:val="ad"/>
              <w:snapToGrid w:val="0"/>
              <w:spacing w:after="283"/>
            </w:pPr>
            <w:r>
              <w:t xml:space="preserve"> СВИДЕТЕЛЬСТВО о постановке на учет в налоговом органе - инспекция МНС РФ по Коминтерновскому району г. Воронежа Постановка на учет 25.04.2000 </w:t>
            </w:r>
            <w:proofErr w:type="gramStart"/>
            <w:r>
              <w:t>г .</w:t>
            </w:r>
            <w:proofErr w:type="gramEnd"/>
            <w:r>
              <w:t xml:space="preserve"> </w:t>
            </w:r>
          </w:p>
          <w:p w:rsidR="00A75A6B" w:rsidRDefault="00051DEC">
            <w:pPr>
              <w:pStyle w:val="ad"/>
              <w:spacing w:after="283"/>
            </w:pPr>
            <w:r>
              <w:t xml:space="preserve">ИНН 3662058103 </w:t>
            </w:r>
            <w:r>
              <w:br/>
              <w:t xml:space="preserve">КПП 366201001 </w:t>
            </w:r>
          </w:p>
          <w:p w:rsidR="00A75A6B" w:rsidRDefault="00051DEC">
            <w:pPr>
              <w:pStyle w:val="ad"/>
              <w:spacing w:after="283"/>
            </w:pPr>
            <w:r>
              <w:t xml:space="preserve">Воронежский областной комитет государственной статистики подтверждает наличие в составе Единого государственного реестра идентификацию по общероссийским классификаторам : </w:t>
            </w:r>
            <w:r>
              <w:br/>
              <w:t>ОКПО - 53149955, ОКОГУ - 49013 , ОКАТО - 20401370000 ,20401000000</w:t>
            </w:r>
            <w:r>
              <w:br/>
              <w:t xml:space="preserve">ОКВЭД - 45.21.1, 45.25.3, 45.25.2, 45.25.6,  45.31,45.32, 45.33, 45.41, 45.42,45.43,45.44,45.22 </w:t>
            </w:r>
            <w:r>
              <w:br/>
              <w:t xml:space="preserve">ОКФС - 16 ОКОПФ -65 </w:t>
            </w:r>
          </w:p>
          <w:p w:rsidR="00A75A6B" w:rsidRDefault="00051DEC">
            <w:pPr>
              <w:pStyle w:val="ad"/>
              <w:spacing w:after="283"/>
            </w:pPr>
            <w:r>
              <w:t xml:space="preserve">Орган государственной регистрации - Межрайонная ИМНС по крупнейшим налогоплательщикам по Воронежской области </w:t>
            </w:r>
            <w:r>
              <w:br/>
              <w:t xml:space="preserve">Номер записи в государственный реестр : 2033600108430 </w:t>
            </w:r>
            <w:r>
              <w:br/>
              <w:t xml:space="preserve">Дата регистрации : 25.06.2003 г . </w:t>
            </w:r>
            <w:r>
              <w:br/>
              <w:t xml:space="preserve">Выдано - Министерством Российской Федерации по </w:t>
            </w:r>
            <w:r>
              <w:lastRenderedPageBreak/>
              <w:t xml:space="preserve">налогам и сборам - Межрайонная инспекция МНС России по крупнейшим налогоплательщикам по Воронежской </w:t>
            </w:r>
            <w:proofErr w:type="gramStart"/>
            <w:r>
              <w:t>области .</w:t>
            </w:r>
            <w:proofErr w:type="gramEnd"/>
            <w:r>
              <w:t xml:space="preserve">                           Зарегистрировано Администрацией города Воронежа 21 апреля 2000 года № 117532 за основным государственным регистрационным номером № 1033600035820 дата </w:t>
            </w:r>
            <w:proofErr w:type="gramStart"/>
            <w:r>
              <w:t>внесения  записи</w:t>
            </w:r>
            <w:proofErr w:type="gramEnd"/>
            <w:r>
              <w:t xml:space="preserve"> 06 февраля 2003 года .Серия 36 № 001482807 .</w:t>
            </w:r>
          </w:p>
          <w:p w:rsidR="00A75A6B" w:rsidRDefault="00051DEC">
            <w:pPr>
              <w:pStyle w:val="ad"/>
              <w:spacing w:after="283"/>
            </w:pPr>
            <w:r>
              <w:t>Последняя редакция Устав Общества с ограниченной ответственностью «Инвестиционная строительная фирма «</w:t>
            </w:r>
            <w:proofErr w:type="spellStart"/>
            <w:r>
              <w:t>Стэл</w:t>
            </w:r>
            <w:proofErr w:type="spellEnd"/>
            <w:r>
              <w:t>» - утверждена решением собрания участников Общества  от 30.10.2009г. Основание протокол собрания учредителей № 5 от 30.10.2009 г.</w:t>
            </w:r>
          </w:p>
        </w:tc>
      </w:tr>
      <w:tr w:rsidR="00A75A6B">
        <w:tc>
          <w:tcPr>
            <w:tcW w:w="48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spacing w:before="1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Данные об учредителях застройщика</w:t>
            </w:r>
          </w:p>
          <w:p w:rsidR="00A75A6B" w:rsidRDefault="00A75A6B">
            <w:pPr>
              <w:spacing w:before="180"/>
              <w:rPr>
                <w:b/>
                <w:bCs/>
                <w:color w:val="000000"/>
              </w:rPr>
            </w:pPr>
          </w:p>
        </w:tc>
        <w:tc>
          <w:tcPr>
            <w:tcW w:w="58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pStyle w:val="ad"/>
            </w:pPr>
            <w:r>
              <w:t xml:space="preserve"> Лукинов Валерий Викторович-размер доли 100%</w:t>
            </w:r>
          </w:p>
        </w:tc>
      </w:tr>
      <w:tr w:rsidR="00A75A6B">
        <w:tc>
          <w:tcPr>
            <w:tcW w:w="48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spacing w:line="274" w:lineRule="exac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 xml:space="preserve">Информация о </w:t>
            </w:r>
            <w:proofErr w:type="gramStart"/>
            <w:r>
              <w:rPr>
                <w:b/>
                <w:color w:val="000000"/>
                <w:sz w:val="23"/>
              </w:rPr>
              <w:t>проектах  строительства</w:t>
            </w:r>
            <w:proofErr w:type="gramEnd"/>
            <w:r>
              <w:rPr>
                <w:b/>
                <w:color w:val="000000"/>
                <w:sz w:val="23"/>
              </w:rPr>
              <w:t xml:space="preserve"> объектов недвижимости, в  которых  Застройщик принимал участие  в  течение  3-х лет, предшествующих опубликованию </w:t>
            </w:r>
          </w:p>
          <w:p w:rsidR="00A75A6B" w:rsidRDefault="00051DEC">
            <w:pPr>
              <w:spacing w:line="274" w:lineRule="exac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данной проектной декларации</w:t>
            </w:r>
          </w:p>
          <w:p w:rsidR="00A75A6B" w:rsidRDefault="00A75A6B">
            <w:pPr>
              <w:spacing w:before="7" w:line="274" w:lineRule="exact"/>
              <w:ind w:left="94"/>
              <w:rPr>
                <w:color w:val="000000"/>
              </w:rPr>
            </w:pPr>
          </w:p>
        </w:tc>
        <w:tc>
          <w:tcPr>
            <w:tcW w:w="58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pStyle w:val="ad"/>
              <w:snapToGrid w:val="0"/>
            </w:pPr>
            <w:r>
              <w:t xml:space="preserve">Общество с ограниченной ответственностью </w:t>
            </w:r>
          </w:p>
          <w:p w:rsidR="00A75A6B" w:rsidRDefault="00051DEC">
            <w:pPr>
              <w:pStyle w:val="ad"/>
              <w:snapToGrid w:val="0"/>
            </w:pPr>
            <w:r>
              <w:t>«Инвестиционная строительная фирма «</w:t>
            </w:r>
            <w:proofErr w:type="spellStart"/>
            <w:r>
              <w:t>Стэл</w:t>
            </w:r>
            <w:proofErr w:type="spellEnd"/>
            <w:r>
              <w:t>» с 2010 г. построило и ввело в эксплуатацию дома:</w:t>
            </w:r>
          </w:p>
          <w:p w:rsidR="00A75A6B" w:rsidRDefault="00051DEC">
            <w:pPr>
              <w:pStyle w:val="ad"/>
              <w:snapToGrid w:val="0"/>
            </w:pPr>
            <w:r>
              <w:t>-98-ми квартирный жилой дом по ул.Холзунова,48 (проектный срок ввода в эксплуатацию-3кв.2010г. фактический срок ввода -01.07.2010г.</w:t>
            </w:r>
          </w:p>
          <w:p w:rsidR="00A75A6B" w:rsidRDefault="00051DEC">
            <w:pPr>
              <w:pStyle w:val="ad"/>
              <w:snapToGrid w:val="0"/>
            </w:pPr>
            <w:r>
              <w:t>65 –</w:t>
            </w:r>
            <w:proofErr w:type="spellStart"/>
            <w:r>
              <w:t>ти</w:t>
            </w:r>
            <w:proofErr w:type="spellEnd"/>
            <w:r>
              <w:t xml:space="preserve"> квартирный жилой дом по ул.45 Стрелковой дивизии,104 (проектный срок ввода в эксплуатацию-3кв.2012г. фактический срок ввода -28.09.2012г.)</w:t>
            </w:r>
          </w:p>
          <w:p w:rsidR="00A75A6B" w:rsidRDefault="00051DEC">
            <w:pPr>
              <w:pStyle w:val="ad"/>
              <w:snapToGrid w:val="0"/>
            </w:pPr>
            <w:r>
              <w:t>96-ти квартирный жилой дом со встроенными нежилыми помещениями по ул.45 Стрелковой дивизии,106 (проектный срок ввода в эксплуатацию-3кв.2012г. фактический срок ввода -28.09.2012г.)</w:t>
            </w:r>
          </w:p>
          <w:p w:rsidR="00A75A6B" w:rsidRDefault="00051DEC">
            <w:pPr>
              <w:pStyle w:val="ad"/>
              <w:snapToGrid w:val="0"/>
            </w:pPr>
            <w:r>
              <w:t xml:space="preserve">168-ти квартирный жилой дом по ул.45 Стрелковой дивизии,234(1 </w:t>
            </w:r>
            <w:proofErr w:type="gramStart"/>
            <w:r>
              <w:t>очередь)(</w:t>
            </w:r>
            <w:proofErr w:type="gramEnd"/>
            <w:r>
              <w:t>проектный срок ввода в эксплуатацию 1 кв.2013г,фактический срок ввода -11.03.13г)</w:t>
            </w:r>
          </w:p>
          <w:p w:rsidR="00A75A6B" w:rsidRDefault="00051DEC">
            <w:pPr>
              <w:pStyle w:val="ad"/>
              <w:snapToGrid w:val="0"/>
            </w:pPr>
            <w:r>
              <w:t xml:space="preserve">148-ми квартирный жилой дом по ул.45 Стрелковой дивизии,234(2 </w:t>
            </w:r>
            <w:proofErr w:type="gramStart"/>
            <w:r>
              <w:t>очередь)(</w:t>
            </w:r>
            <w:proofErr w:type="gramEnd"/>
            <w:r>
              <w:t>проектный срок ввода  4 квартал 2013г, фактический  срок ввода – 11.12.2013г)</w:t>
            </w:r>
          </w:p>
          <w:p w:rsidR="00A75A6B" w:rsidRDefault="00051DEC">
            <w:pPr>
              <w:pStyle w:val="ad"/>
              <w:snapToGrid w:val="0"/>
            </w:pPr>
            <w:r>
              <w:t xml:space="preserve">68-ми квартирный жилой дом в г. Лиски по ул.Титова,28/1(2 очередь) проектный срок ввода в 1 квартал 2014г, </w:t>
            </w:r>
            <w:proofErr w:type="gramStart"/>
            <w:r>
              <w:t>фактический  срок</w:t>
            </w:r>
            <w:proofErr w:type="gramEnd"/>
            <w:r>
              <w:t xml:space="preserve"> ввода – 17.03.2014 г)</w:t>
            </w:r>
          </w:p>
          <w:p w:rsidR="00A75A6B" w:rsidRDefault="00051DEC">
            <w:pPr>
              <w:pStyle w:val="ad"/>
              <w:snapToGrid w:val="0"/>
            </w:pPr>
            <w:r>
              <w:t>205-ти квартирный жилой дом по ул.45 Стрелковой дивизии ,</w:t>
            </w:r>
            <w:proofErr w:type="gramStart"/>
            <w:r>
              <w:t>234( 3</w:t>
            </w:r>
            <w:proofErr w:type="gramEnd"/>
            <w:r>
              <w:t xml:space="preserve">очередь </w:t>
            </w:r>
            <w:proofErr w:type="spellStart"/>
            <w:r>
              <w:t>стр-ва</w:t>
            </w:r>
            <w:proofErr w:type="spellEnd"/>
            <w:r>
              <w:t>), проектный срок ввода  4 квартал 2014г, фактический  срок ввода – 02.12.2014г.</w:t>
            </w:r>
          </w:p>
          <w:p w:rsidR="00A75A6B" w:rsidRDefault="00051DEC">
            <w:pPr>
              <w:pStyle w:val="ad"/>
              <w:snapToGrid w:val="0"/>
            </w:pPr>
            <w:r>
              <w:t xml:space="preserve">135-ти квартирный жилой дом по </w:t>
            </w:r>
            <w:proofErr w:type="spellStart"/>
            <w:r>
              <w:t>ул.Независимости</w:t>
            </w:r>
            <w:proofErr w:type="spellEnd"/>
            <w:r>
              <w:t xml:space="preserve"> 55п,55н,55о,55р (1 очередь </w:t>
            </w:r>
            <w:proofErr w:type="spellStart"/>
            <w:r>
              <w:t>стр-ва</w:t>
            </w:r>
            <w:proofErr w:type="spellEnd"/>
            <w:r>
              <w:t xml:space="preserve">), проектный срок </w:t>
            </w:r>
            <w:proofErr w:type="gramStart"/>
            <w:r>
              <w:t>ввода  4</w:t>
            </w:r>
            <w:proofErr w:type="gramEnd"/>
            <w:r>
              <w:t xml:space="preserve"> квартал 2014г, фактический  срок ввода – 19.12.2014г.</w:t>
            </w:r>
          </w:p>
          <w:p w:rsidR="00A75A6B" w:rsidRDefault="00051DEC">
            <w:pPr>
              <w:pStyle w:val="ad"/>
              <w:snapToGrid w:val="0"/>
            </w:pPr>
            <w:r>
              <w:t xml:space="preserve">136-ти квартирный жилой дом по </w:t>
            </w:r>
            <w:proofErr w:type="spellStart"/>
            <w:r>
              <w:t>ул.Независимости</w:t>
            </w:r>
            <w:proofErr w:type="spellEnd"/>
            <w:r>
              <w:t xml:space="preserve"> 55п,55н,55о,55р (2 очередь </w:t>
            </w:r>
            <w:proofErr w:type="spellStart"/>
            <w:r>
              <w:t>стр-ва</w:t>
            </w:r>
            <w:proofErr w:type="spellEnd"/>
            <w:r>
              <w:t xml:space="preserve">), проектный срок </w:t>
            </w:r>
            <w:proofErr w:type="gramStart"/>
            <w:r>
              <w:t>ввода  3</w:t>
            </w:r>
            <w:proofErr w:type="gramEnd"/>
            <w:r>
              <w:t xml:space="preserve"> квартал 2015г, фактический  срок ввода – 28.08.2015г.</w:t>
            </w:r>
          </w:p>
          <w:p w:rsidR="00A75A6B" w:rsidRDefault="00051DEC">
            <w:pPr>
              <w:pStyle w:val="ad"/>
              <w:snapToGrid w:val="0"/>
            </w:pPr>
            <w:r>
              <w:t xml:space="preserve">90-то квартирный жилой дом в г. Лиски по ул.Титова,28/2(3 очередь) проектный срок ввода в 4 квартал 2015г, </w:t>
            </w:r>
            <w:proofErr w:type="gramStart"/>
            <w:r>
              <w:t>фактический  срок</w:t>
            </w:r>
            <w:proofErr w:type="gramEnd"/>
            <w:r>
              <w:t xml:space="preserve"> ввода – 07.10.2015 г)</w:t>
            </w:r>
          </w:p>
          <w:p w:rsidR="00A75A6B" w:rsidRDefault="00051DEC">
            <w:pPr>
              <w:pStyle w:val="ad"/>
              <w:snapToGrid w:val="0"/>
            </w:pPr>
            <w:r>
              <w:t xml:space="preserve">79-ти квартирный жилой дом по </w:t>
            </w:r>
            <w:proofErr w:type="spellStart"/>
            <w:r>
              <w:t>ул.Независимости</w:t>
            </w:r>
            <w:proofErr w:type="spellEnd"/>
            <w:r>
              <w:t xml:space="preserve"> 55п,55н,55о,55р (3 очередь </w:t>
            </w:r>
            <w:proofErr w:type="spellStart"/>
            <w:r>
              <w:t>стр-ва</w:t>
            </w:r>
            <w:proofErr w:type="spellEnd"/>
            <w:r>
              <w:t xml:space="preserve"> поз.1), проектный </w:t>
            </w:r>
            <w:r>
              <w:lastRenderedPageBreak/>
              <w:t xml:space="preserve">срок </w:t>
            </w:r>
            <w:proofErr w:type="gramStart"/>
            <w:r>
              <w:t>ввода  1</w:t>
            </w:r>
            <w:proofErr w:type="gramEnd"/>
            <w:r>
              <w:t>квартал 2016г, фактический  срок ввода – 10.12.2015г.</w:t>
            </w:r>
          </w:p>
          <w:p w:rsidR="00A75A6B" w:rsidRDefault="00A75A6B">
            <w:pPr>
              <w:pStyle w:val="ad"/>
              <w:snapToGrid w:val="0"/>
            </w:pPr>
          </w:p>
        </w:tc>
      </w:tr>
      <w:tr w:rsidR="00A75A6B">
        <w:tc>
          <w:tcPr>
            <w:tcW w:w="48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spacing w:before="7" w:line="274" w:lineRule="exact"/>
              <w:ind w:left="9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Лицензия</w:t>
            </w:r>
          </w:p>
          <w:p w:rsidR="00A75A6B" w:rsidRDefault="00A75A6B">
            <w:pPr>
              <w:spacing w:before="7" w:line="274" w:lineRule="exact"/>
              <w:ind w:left="94"/>
              <w:rPr>
                <w:b/>
                <w:bCs/>
                <w:color w:val="000000"/>
              </w:rPr>
            </w:pPr>
          </w:p>
        </w:tc>
        <w:tc>
          <w:tcPr>
            <w:tcW w:w="58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pStyle w:val="ad"/>
              <w:snapToGrid w:val="0"/>
            </w:pPr>
            <w:r>
              <w:t>Регистрационный номер СРО 0028.03-2010-3662058103-С-156 от 10 сентября 2012г.</w:t>
            </w:r>
          </w:p>
        </w:tc>
      </w:tr>
    </w:tbl>
    <w:p w:rsidR="00A75A6B" w:rsidRDefault="00051DEC">
      <w:pPr>
        <w:jc w:val="center"/>
        <w:rPr>
          <w:b/>
          <w:bCs/>
          <w:color w:val="000000"/>
          <w:spacing w:val="4"/>
          <w:sz w:val="23"/>
          <w:szCs w:val="23"/>
        </w:rPr>
      </w:pPr>
      <w:r>
        <w:rPr>
          <w:b/>
          <w:bCs/>
        </w:rPr>
        <w:t xml:space="preserve">Данные </w:t>
      </w:r>
      <w:r>
        <w:rPr>
          <w:b/>
          <w:bCs/>
          <w:color w:val="000000"/>
          <w:spacing w:val="4"/>
          <w:sz w:val="23"/>
          <w:szCs w:val="23"/>
        </w:rPr>
        <w:t>о финансово-экономическо</w:t>
      </w:r>
      <w:r w:rsidR="00F346CA">
        <w:rPr>
          <w:b/>
          <w:bCs/>
          <w:color w:val="000000"/>
          <w:spacing w:val="4"/>
          <w:sz w:val="23"/>
          <w:szCs w:val="23"/>
        </w:rPr>
        <w:t>м состоянии Застройщика на 01.0</w:t>
      </w:r>
      <w:r w:rsidR="00F346CA" w:rsidRPr="00F346CA">
        <w:rPr>
          <w:b/>
          <w:bCs/>
          <w:color w:val="000000"/>
          <w:spacing w:val="4"/>
          <w:sz w:val="23"/>
          <w:szCs w:val="23"/>
        </w:rPr>
        <w:t>4</w:t>
      </w:r>
      <w:r>
        <w:rPr>
          <w:b/>
          <w:bCs/>
          <w:color w:val="000000"/>
          <w:spacing w:val="4"/>
          <w:sz w:val="23"/>
          <w:szCs w:val="23"/>
        </w:rPr>
        <w:t>.2017г</w:t>
      </w:r>
    </w:p>
    <w:tbl>
      <w:tblPr>
        <w:tblW w:w="10740" w:type="dxa"/>
        <w:tblInd w:w="-5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5911"/>
      </w:tblGrid>
      <w:tr w:rsidR="00A75A6B">
        <w:tc>
          <w:tcPr>
            <w:tcW w:w="4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hd w:val="clear" w:color="auto" w:fill="FFFFFF"/>
              <w:snapToGrid w:val="0"/>
              <w:spacing w:before="7"/>
              <w:ind w:right="-960"/>
              <w:rPr>
                <w:b/>
                <w:bCs/>
                <w:color w:val="000000"/>
                <w:spacing w:val="2"/>
                <w:sz w:val="23"/>
                <w:szCs w:val="23"/>
              </w:rPr>
            </w:pPr>
            <w:r>
              <w:rPr>
                <w:b/>
                <w:bCs/>
                <w:color w:val="000000"/>
                <w:spacing w:val="2"/>
                <w:sz w:val="23"/>
                <w:szCs w:val="23"/>
              </w:rPr>
              <w:t>Финансовый результат</w:t>
            </w:r>
          </w:p>
          <w:p w:rsidR="00A75A6B" w:rsidRDefault="00A75A6B">
            <w:pPr>
              <w:shd w:val="clear" w:color="auto" w:fill="FFFFFF"/>
              <w:spacing w:before="7"/>
              <w:ind w:right="-960"/>
              <w:rPr>
                <w:b/>
                <w:bCs/>
                <w:color w:val="000000"/>
                <w:spacing w:val="2"/>
                <w:sz w:val="23"/>
                <w:szCs w:val="23"/>
              </w:rPr>
            </w:pPr>
          </w:p>
        </w:tc>
        <w:tc>
          <w:tcPr>
            <w:tcW w:w="5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F346CA" w:rsidP="00F346CA">
            <w:pPr>
              <w:pStyle w:val="ad"/>
              <w:shd w:val="clear" w:color="auto" w:fill="FFFFFF"/>
              <w:snapToGrid w:val="0"/>
            </w:pPr>
            <w:r>
              <w:rPr>
                <w:lang w:val="en-US"/>
              </w:rPr>
              <w:t xml:space="preserve">0 </w:t>
            </w:r>
            <w:r>
              <w:t>млн</w:t>
            </w:r>
            <w:r w:rsidR="00051DEC">
              <w:t>. руб.</w:t>
            </w:r>
          </w:p>
        </w:tc>
      </w:tr>
      <w:tr w:rsidR="00A75A6B">
        <w:tc>
          <w:tcPr>
            <w:tcW w:w="48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hd w:val="clear" w:color="auto" w:fill="FFFFFF"/>
              <w:snapToGrid w:val="0"/>
              <w:spacing w:before="7" w:line="281" w:lineRule="exact"/>
              <w:ind w:right="-960"/>
              <w:rPr>
                <w:b/>
                <w:bCs/>
                <w:color w:val="000000"/>
                <w:spacing w:val="2"/>
                <w:sz w:val="23"/>
                <w:szCs w:val="23"/>
              </w:rPr>
            </w:pPr>
            <w:r>
              <w:rPr>
                <w:b/>
                <w:bCs/>
                <w:color w:val="000000"/>
                <w:spacing w:val="1"/>
                <w:sz w:val="23"/>
                <w:szCs w:val="23"/>
              </w:rPr>
              <w:t xml:space="preserve">Размер кредиторской </w:t>
            </w:r>
            <w:r>
              <w:rPr>
                <w:b/>
                <w:bCs/>
                <w:color w:val="000000"/>
                <w:spacing w:val="2"/>
                <w:sz w:val="23"/>
                <w:szCs w:val="23"/>
              </w:rPr>
              <w:t>задолженности</w:t>
            </w:r>
          </w:p>
          <w:p w:rsidR="00A75A6B" w:rsidRDefault="00051DEC">
            <w:pPr>
              <w:shd w:val="clear" w:color="auto" w:fill="FFFFFF"/>
              <w:spacing w:before="7" w:line="281" w:lineRule="exact"/>
              <w:ind w:right="-960"/>
              <w:rPr>
                <w:b/>
                <w:bCs/>
                <w:color w:val="000000"/>
                <w:spacing w:val="2"/>
                <w:sz w:val="23"/>
                <w:szCs w:val="23"/>
              </w:rPr>
            </w:pPr>
            <w:r>
              <w:rPr>
                <w:b/>
                <w:bCs/>
                <w:color w:val="000000"/>
                <w:spacing w:val="2"/>
                <w:sz w:val="23"/>
                <w:szCs w:val="23"/>
              </w:rPr>
              <w:t>Размер дебиторской задолженности</w:t>
            </w:r>
          </w:p>
        </w:tc>
        <w:tc>
          <w:tcPr>
            <w:tcW w:w="591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F346CA">
            <w:r>
              <w:t>100,3</w:t>
            </w:r>
            <w:r w:rsidR="00051DEC">
              <w:t xml:space="preserve"> </w:t>
            </w:r>
            <w:r>
              <w:t>млн</w:t>
            </w:r>
            <w:r w:rsidR="00051DEC">
              <w:t>. руб.</w:t>
            </w:r>
          </w:p>
          <w:p w:rsidR="00A75A6B" w:rsidRDefault="00F346CA" w:rsidP="00F346CA">
            <w:r>
              <w:t>59,9</w:t>
            </w:r>
            <w:r w:rsidR="00051DEC">
              <w:t xml:space="preserve"> </w:t>
            </w:r>
            <w:r>
              <w:t>млн</w:t>
            </w:r>
            <w:r w:rsidR="00051DEC">
              <w:t>. руб.</w:t>
            </w:r>
          </w:p>
        </w:tc>
      </w:tr>
    </w:tbl>
    <w:p w:rsidR="00A75A6B" w:rsidRDefault="00051DEC">
      <w:pPr>
        <w:jc w:val="center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>Информация о проекте строительства</w:t>
      </w:r>
    </w:p>
    <w:tbl>
      <w:tblPr>
        <w:tblW w:w="10725" w:type="dxa"/>
        <w:tblInd w:w="-50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9"/>
        <w:gridCol w:w="5806"/>
      </w:tblGrid>
      <w:tr w:rsidR="00A75A6B">
        <w:tc>
          <w:tcPr>
            <w:tcW w:w="4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Цель строительства</w:t>
            </w:r>
          </w:p>
        </w:tc>
        <w:tc>
          <w:tcPr>
            <w:tcW w:w="5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pacing w:line="274" w:lineRule="exact"/>
            </w:pPr>
            <w:r>
              <w:t>Строител</w:t>
            </w:r>
            <w:bookmarkStart w:id="0" w:name="_GoBack"/>
            <w:bookmarkEnd w:id="0"/>
            <w:r>
              <w:t>ьство жилого комплекса Московский проспект,97а,3-я очередь строительства, с нежилыми помещениями общественно- коммерческого назначения ,инженерными сетями жизнеобеспечения.</w:t>
            </w:r>
          </w:p>
        </w:tc>
      </w:tr>
      <w:tr w:rsidR="00A75A6B"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Этапы и срок реализации строительства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</w:pPr>
            <w:r>
              <w:t>Начало строительства: май 2016г.</w:t>
            </w:r>
          </w:p>
          <w:p w:rsidR="00A75A6B" w:rsidRDefault="00051DEC">
            <w:r>
              <w:t>Окончание строительства:  2 полугодие  2018г.</w:t>
            </w:r>
          </w:p>
        </w:tc>
      </w:tr>
      <w:tr w:rsidR="00A75A6B"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Заключение экспертизы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</w:pPr>
            <w:r>
              <w:t>Положительное заключение экспертизы №36 -2-1-3-0006-16 от 22.04.2016г. ООО   «Центр Экспертизы «Приоритет»</w:t>
            </w:r>
          </w:p>
        </w:tc>
      </w:tr>
      <w:tr w:rsidR="00A75A6B"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Разрешение на строительство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</w:pPr>
            <w:r>
              <w:t xml:space="preserve"> №36-</w:t>
            </w:r>
            <w:r>
              <w:rPr>
                <w:lang w:val="en-US"/>
              </w:rPr>
              <w:t>RU36302000-43-201</w:t>
            </w:r>
            <w:r>
              <w:t>6 от 18.05.2016 г</w:t>
            </w:r>
          </w:p>
        </w:tc>
      </w:tr>
      <w:tr w:rsidR="00A75A6B"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участок: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hd w:val="clear" w:color="auto" w:fill="FFFFFF"/>
              <w:snapToGrid w:val="0"/>
            </w:pPr>
            <w:r>
              <w:t>Земельный участок с кадастровым номером: 36:34:0203016:9, свидетельство о государственной регистрации права 36-36/001-36/001/033/2016-477/2 от 21.03.2016г.</w:t>
            </w:r>
          </w:p>
          <w:p w:rsidR="00A75A6B" w:rsidRDefault="00051DEC">
            <w:pPr>
              <w:shd w:val="clear" w:color="auto" w:fill="FFFFFF"/>
              <w:snapToGrid w:val="0"/>
            </w:pPr>
            <w:r>
              <w:t xml:space="preserve">Площадь участка: 2 813,00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75A6B" w:rsidRDefault="00051DEC">
            <w:pPr>
              <w:shd w:val="clear" w:color="auto" w:fill="FFFFFF"/>
              <w:snapToGrid w:val="0"/>
            </w:pPr>
            <w:r>
              <w:t>Собственник: ООО «</w:t>
            </w:r>
            <w:proofErr w:type="spellStart"/>
            <w:r>
              <w:t>Стэл-инвест</w:t>
            </w:r>
            <w:proofErr w:type="spellEnd"/>
            <w:r>
              <w:t>»</w:t>
            </w:r>
          </w:p>
        </w:tc>
      </w:tr>
      <w:tr w:rsidR="00A75A6B">
        <w:tc>
          <w:tcPr>
            <w:tcW w:w="1072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 строящегося объекта</w:t>
            </w:r>
          </w:p>
        </w:tc>
      </w:tr>
      <w:tr w:rsidR="00A75A6B"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Местоположение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</w:pPr>
            <w:r>
              <w:t xml:space="preserve">г. Воронеж, ул. Генерала Лизюкова,2-б </w:t>
            </w:r>
          </w:p>
        </w:tc>
      </w:tr>
      <w:tr w:rsidR="00A75A6B"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Благоустройство территории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</w:pPr>
            <w:r>
              <w:t>Благоустройство и озеленение участка в пределах отведённой территории будет осуществлено в соответствии с проектом с выполнением следующих работ:</w:t>
            </w:r>
          </w:p>
          <w:p w:rsidR="00A75A6B" w:rsidRDefault="00051DEC">
            <w:r>
              <w:t>-устройство газонов;</w:t>
            </w:r>
          </w:p>
          <w:p w:rsidR="00A75A6B" w:rsidRDefault="00051DEC">
            <w:r>
              <w:t>-</w:t>
            </w:r>
            <w:proofErr w:type="gramStart"/>
            <w:r>
              <w:t>устройство  детских</w:t>
            </w:r>
            <w:proofErr w:type="gramEnd"/>
            <w:r>
              <w:t xml:space="preserve"> площадок;</w:t>
            </w:r>
          </w:p>
          <w:p w:rsidR="00A75A6B" w:rsidRDefault="00051DEC">
            <w:r>
              <w:t>-устройство площадок для мусорных контейнеров;</w:t>
            </w:r>
          </w:p>
          <w:p w:rsidR="00A75A6B" w:rsidRDefault="00051DEC">
            <w:r>
              <w:t>-устройство пожарного проезда;</w:t>
            </w:r>
          </w:p>
          <w:p w:rsidR="00A75A6B" w:rsidRDefault="00051DEC">
            <w:r>
              <w:t>-асфальтирование дорог;</w:t>
            </w:r>
          </w:p>
          <w:p w:rsidR="00A75A6B" w:rsidRDefault="00051DEC">
            <w:r>
              <w:t>-высадка деревьев;</w:t>
            </w:r>
          </w:p>
        </w:tc>
      </w:tr>
      <w:tr w:rsidR="00A75A6B"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Описание объекта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pacing w:line="274" w:lineRule="exact"/>
              <w:ind w:right="183"/>
            </w:pPr>
            <w:r>
              <w:t xml:space="preserve">Жилой комплекс Московский проспект,97а,3-я очередь строительства, </w:t>
            </w:r>
            <w:r>
              <w:rPr>
                <w:bCs/>
                <w:color w:val="000000"/>
              </w:rPr>
              <w:t xml:space="preserve">с нежилыми помещениями общественно-коммерческого </w:t>
            </w:r>
            <w:proofErr w:type="gramStart"/>
            <w:r>
              <w:rPr>
                <w:bCs/>
                <w:color w:val="000000"/>
              </w:rPr>
              <w:t>назначения ,</w:t>
            </w:r>
            <w:proofErr w:type="gramEnd"/>
            <w:r>
              <w:rPr>
                <w:bCs/>
                <w:color w:val="000000"/>
              </w:rPr>
              <w:t xml:space="preserve"> инженерными сетями жизнеобеспечения</w:t>
            </w:r>
          </w:p>
          <w:p w:rsidR="00A75A6B" w:rsidRDefault="00051DEC">
            <w:pPr>
              <w:snapToGrid w:val="0"/>
            </w:pPr>
            <w:r>
              <w:t>2 секционный жилой дом, кол-во этажей 17-</w:t>
            </w:r>
            <w:proofErr w:type="gramStart"/>
            <w:r>
              <w:t>18,кол</w:t>
            </w:r>
            <w:proofErr w:type="gramEnd"/>
            <w:r>
              <w:t>-во подземных этажей -1.</w:t>
            </w:r>
          </w:p>
          <w:p w:rsidR="00A75A6B" w:rsidRDefault="00051DEC">
            <w:pPr>
              <w:snapToGrid w:val="0"/>
            </w:pPr>
            <w:r>
              <w:t>Высота типового жилого этажа 2,70 м</w:t>
            </w:r>
          </w:p>
          <w:p w:rsidR="00A75A6B" w:rsidRDefault="00051DEC">
            <w:pPr>
              <w:snapToGrid w:val="0"/>
            </w:pPr>
            <w:r>
              <w:t xml:space="preserve">Всего квартир в доме –  160 </w:t>
            </w:r>
            <w:proofErr w:type="spellStart"/>
            <w:r>
              <w:t>шт</w:t>
            </w:r>
            <w:proofErr w:type="spellEnd"/>
          </w:p>
          <w:p w:rsidR="00A75A6B" w:rsidRDefault="00051DEC">
            <w:pPr>
              <w:snapToGrid w:val="0"/>
            </w:pPr>
            <w:r>
              <w:t xml:space="preserve">1-о комнатных – 85 </w:t>
            </w:r>
            <w:proofErr w:type="spellStart"/>
            <w:r>
              <w:t>шт</w:t>
            </w:r>
            <w:proofErr w:type="spellEnd"/>
          </w:p>
          <w:p w:rsidR="00A75A6B" w:rsidRDefault="00051DEC">
            <w:pPr>
              <w:snapToGrid w:val="0"/>
            </w:pPr>
            <w:r>
              <w:t xml:space="preserve">2-х комнатных – 43 </w:t>
            </w:r>
            <w:proofErr w:type="spellStart"/>
            <w:r>
              <w:t>шт</w:t>
            </w:r>
            <w:proofErr w:type="spellEnd"/>
          </w:p>
          <w:p w:rsidR="00A75A6B" w:rsidRDefault="00051DEC">
            <w:pPr>
              <w:snapToGrid w:val="0"/>
            </w:pPr>
            <w:r>
              <w:t xml:space="preserve">3-х комнатных -31 </w:t>
            </w:r>
            <w:proofErr w:type="spellStart"/>
            <w:r>
              <w:t>шт</w:t>
            </w:r>
            <w:proofErr w:type="spellEnd"/>
          </w:p>
          <w:p w:rsidR="00A75A6B" w:rsidRDefault="00051DEC">
            <w:pPr>
              <w:snapToGrid w:val="0"/>
            </w:pPr>
            <w:r>
              <w:t>4-х комнатных -1шт</w:t>
            </w:r>
          </w:p>
          <w:p w:rsidR="00A75A6B" w:rsidRDefault="00A75A6B">
            <w:pPr>
              <w:snapToGrid w:val="0"/>
            </w:pPr>
          </w:p>
          <w:p w:rsidR="00A75A6B" w:rsidRDefault="00051DEC">
            <w:pPr>
              <w:snapToGrid w:val="0"/>
            </w:pPr>
            <w:proofErr w:type="gramStart"/>
            <w:r>
              <w:t>Количество  нежилых</w:t>
            </w:r>
            <w:proofErr w:type="gramEnd"/>
            <w:r>
              <w:t xml:space="preserve"> помещений : </w:t>
            </w:r>
          </w:p>
          <w:p w:rsidR="00A75A6B" w:rsidRDefault="00051DEC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подвал</w:t>
            </w:r>
          </w:p>
          <w:p w:rsidR="00A75A6B" w:rsidRDefault="00051DEC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>
              <w:t xml:space="preserve">1) нежилого помещения – </w:t>
            </w:r>
            <w:r w:rsidR="00906149">
              <w:t>128,15</w:t>
            </w:r>
            <w:r>
              <w:t>м2</w:t>
            </w:r>
          </w:p>
          <w:p w:rsidR="00A75A6B" w:rsidRDefault="00051DEC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>
              <w:t xml:space="preserve">2) нежилого помещения – </w:t>
            </w:r>
            <w:r w:rsidR="00906149">
              <w:t>51,85</w:t>
            </w:r>
            <w:r>
              <w:t>м2</w:t>
            </w:r>
          </w:p>
          <w:p w:rsidR="00906149" w:rsidRDefault="00906149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 w:rsidRPr="00906149">
              <w:t>3</w:t>
            </w:r>
            <w:r>
              <w:t>) нежилого помещения – 150,88м2</w:t>
            </w:r>
          </w:p>
          <w:p w:rsidR="00906149" w:rsidRDefault="00906149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 w:rsidRPr="00906149">
              <w:t>4</w:t>
            </w:r>
            <w:r>
              <w:t>) нежилого помещения – 62,86м2</w:t>
            </w:r>
          </w:p>
          <w:p w:rsidR="00906149" w:rsidRDefault="00906149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 w:rsidRPr="00906149">
              <w:t>6</w:t>
            </w:r>
            <w:r>
              <w:t xml:space="preserve">) нежилого помещения – </w:t>
            </w:r>
            <w:r w:rsidRPr="00F346CA">
              <w:t>91</w:t>
            </w:r>
            <w:r>
              <w:t>,</w:t>
            </w:r>
            <w:r w:rsidRPr="00F346CA">
              <w:t>39</w:t>
            </w:r>
            <w:r>
              <w:t>м2</w:t>
            </w:r>
          </w:p>
          <w:p w:rsidR="00A75A6B" w:rsidRDefault="00051DEC">
            <w:pPr>
              <w:snapToGrid w:val="0"/>
            </w:pPr>
            <w:r>
              <w:t xml:space="preserve"> </w:t>
            </w:r>
            <w:r>
              <w:rPr>
                <w:b/>
              </w:rPr>
              <w:t>Секция №1 - 1 этаж</w:t>
            </w:r>
            <w:r>
              <w:t>:</w:t>
            </w:r>
          </w:p>
          <w:p w:rsidR="00A75A6B" w:rsidRDefault="00051DEC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 w:rsidR="00906149">
              <w:t>5</w:t>
            </w:r>
            <w:r>
              <w:t xml:space="preserve">) нежилого помещения – </w:t>
            </w:r>
            <w:r w:rsidR="00906149">
              <w:t>135,48</w:t>
            </w:r>
            <w:r>
              <w:t>м2</w:t>
            </w:r>
          </w:p>
          <w:p w:rsidR="00A75A6B" w:rsidRDefault="00051DEC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 w:rsidR="00906149">
              <w:t>7</w:t>
            </w:r>
            <w:r>
              <w:t xml:space="preserve">) нежилого помещения – </w:t>
            </w:r>
            <w:r w:rsidR="00906149">
              <w:t>98,15</w:t>
            </w:r>
            <w:r>
              <w:t>м2</w:t>
            </w:r>
          </w:p>
          <w:p w:rsidR="00A75A6B" w:rsidRDefault="00051DEC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 w:rsidR="00906149">
              <w:t>8</w:t>
            </w:r>
            <w:r>
              <w:t xml:space="preserve">) нежилого помещения – </w:t>
            </w:r>
            <w:r w:rsidR="00906149">
              <w:t>92,35</w:t>
            </w:r>
            <w:r>
              <w:t>м2</w:t>
            </w:r>
          </w:p>
          <w:p w:rsidR="00A75A6B" w:rsidRDefault="00051DEC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 Секция №2 - 1 этаж:</w:t>
            </w:r>
          </w:p>
          <w:p w:rsidR="00A75A6B" w:rsidRDefault="00051DEC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 w:rsidR="00906149">
              <w:t>9</w:t>
            </w:r>
            <w:r>
              <w:t xml:space="preserve">) нежилого помещения – </w:t>
            </w:r>
            <w:r w:rsidR="00906149">
              <w:t>92,59</w:t>
            </w:r>
            <w:r>
              <w:t>м2</w:t>
            </w:r>
          </w:p>
          <w:p w:rsidR="00A75A6B" w:rsidRDefault="00051DEC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 w:rsidR="00906149">
              <w:t>10</w:t>
            </w:r>
            <w:r>
              <w:t xml:space="preserve">) нежилого помещения – </w:t>
            </w:r>
            <w:r w:rsidR="00906149">
              <w:t>89,25</w:t>
            </w:r>
            <w:r>
              <w:t>м2</w:t>
            </w:r>
          </w:p>
          <w:p w:rsidR="00A75A6B" w:rsidRDefault="00051DEC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 w:rsidR="00906149">
              <w:t>11</w:t>
            </w:r>
            <w:r>
              <w:t xml:space="preserve">) нежилого помещения – </w:t>
            </w:r>
            <w:r w:rsidR="00906149">
              <w:t>46,80</w:t>
            </w:r>
            <w:r>
              <w:t>м2</w:t>
            </w:r>
          </w:p>
          <w:p w:rsidR="00A75A6B" w:rsidRDefault="00051DEC">
            <w:proofErr w:type="gramStart"/>
            <w:r>
              <w:rPr>
                <w:lang w:val="en-US"/>
              </w:rPr>
              <w:t>S</w:t>
            </w:r>
            <w:r>
              <w:t>(</w:t>
            </w:r>
            <w:proofErr w:type="gramEnd"/>
            <w:r w:rsidR="00906149">
              <w:t>12</w:t>
            </w:r>
            <w:r>
              <w:t xml:space="preserve">) нежилого помещения – </w:t>
            </w:r>
            <w:r w:rsidR="00906149">
              <w:t>72,99</w:t>
            </w:r>
            <w:r>
              <w:t>м2</w:t>
            </w:r>
          </w:p>
          <w:p w:rsidR="00A75A6B" w:rsidRDefault="00051DEC" w:rsidP="00906149">
            <w:r>
              <w:rPr>
                <w:lang w:val="en-US"/>
              </w:rPr>
              <w:t>S</w:t>
            </w:r>
            <w:r>
              <w:t>(1</w:t>
            </w:r>
            <w:r w:rsidR="00906149">
              <w:t>3</w:t>
            </w:r>
            <w:r>
              <w:t xml:space="preserve">) нежилого помещения – </w:t>
            </w:r>
            <w:r w:rsidR="00906149">
              <w:t>61,11</w:t>
            </w:r>
            <w:r>
              <w:t>м2</w:t>
            </w:r>
          </w:p>
        </w:tc>
      </w:tr>
      <w:tr w:rsidR="00A75A6B"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Показатели объекта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</w:pPr>
            <w:proofErr w:type="gramStart"/>
            <w:r>
              <w:t>Этажность  -</w:t>
            </w:r>
            <w:proofErr w:type="gramEnd"/>
            <w:r>
              <w:t xml:space="preserve"> 16,17             </w:t>
            </w:r>
          </w:p>
          <w:p w:rsidR="00A75A6B" w:rsidRDefault="00051DEC">
            <w:r>
              <w:t xml:space="preserve"> Общий строительный объём здания </w:t>
            </w:r>
          </w:p>
          <w:p w:rsidR="00A75A6B" w:rsidRDefault="00051DEC">
            <w:pPr>
              <w:rPr>
                <w:vertAlign w:val="superscript"/>
              </w:rPr>
            </w:pPr>
            <w:r>
              <w:t xml:space="preserve"> по проекту                                          60 960,75 м</w:t>
            </w:r>
            <w:r>
              <w:rPr>
                <w:vertAlign w:val="superscript"/>
              </w:rPr>
              <w:t>3</w:t>
            </w:r>
          </w:p>
          <w:p w:rsidR="00A75A6B" w:rsidRDefault="00051DEC">
            <w:pPr>
              <w:rPr>
                <w:vertAlign w:val="superscript"/>
              </w:rPr>
            </w:pPr>
            <w:r>
              <w:t xml:space="preserve"> В том числе подземной части             3 593,42м</w:t>
            </w:r>
            <w:r>
              <w:rPr>
                <w:vertAlign w:val="superscript"/>
              </w:rPr>
              <w:t>3</w:t>
            </w:r>
          </w:p>
          <w:p w:rsidR="00A75A6B" w:rsidRDefault="00051DEC">
            <w:r>
              <w:t xml:space="preserve">Общая площадь квартир </w:t>
            </w:r>
          </w:p>
          <w:p w:rsidR="00A75A6B" w:rsidRDefault="00051DEC">
            <w:pPr>
              <w:rPr>
                <w:b/>
              </w:rPr>
            </w:pPr>
            <w:r>
              <w:t xml:space="preserve">              (без </w:t>
            </w:r>
            <w:proofErr w:type="gramStart"/>
            <w:r>
              <w:t xml:space="preserve">балконов)   </w:t>
            </w:r>
            <w:proofErr w:type="gramEnd"/>
            <w:r>
              <w:t xml:space="preserve">                     9 736,77м</w:t>
            </w:r>
            <w:r>
              <w:rPr>
                <w:vertAlign w:val="superscript"/>
              </w:rPr>
              <w:t>2</w:t>
            </w:r>
          </w:p>
          <w:p w:rsidR="00A75A6B" w:rsidRDefault="00051DEC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</w:t>
            </w:r>
            <w:proofErr w:type="gramStart"/>
            <w:r>
              <w:t>( с</w:t>
            </w:r>
            <w:proofErr w:type="gramEnd"/>
            <w:r>
              <w:t xml:space="preserve"> балконами)                        10 195,75 м</w:t>
            </w:r>
            <w:r>
              <w:rPr>
                <w:vertAlign w:val="superscript"/>
              </w:rPr>
              <w:t>2</w:t>
            </w:r>
          </w:p>
          <w:p w:rsidR="00A75A6B" w:rsidRDefault="00A75A6B"/>
        </w:tc>
      </w:tr>
      <w:tr w:rsidR="00A75A6B"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Общие технические характеристики (состояние) </w:t>
            </w:r>
            <w:proofErr w:type="spellStart"/>
            <w:proofErr w:type="gramStart"/>
            <w:r>
              <w:rPr>
                <w:b/>
                <w:bCs/>
              </w:rPr>
              <w:t>квартир,передаваемых</w:t>
            </w:r>
            <w:proofErr w:type="spellEnd"/>
            <w:proofErr w:type="gramEnd"/>
            <w:r>
              <w:rPr>
                <w:b/>
                <w:bCs/>
              </w:rPr>
              <w:t xml:space="preserve"> участнику долевого строительства</w:t>
            </w:r>
          </w:p>
          <w:p w:rsidR="00A75A6B" w:rsidRDefault="00A75A6B">
            <w:pPr>
              <w:snapToGrid w:val="0"/>
              <w:rPr>
                <w:b/>
                <w:bCs/>
              </w:rPr>
            </w:pPr>
          </w:p>
          <w:p w:rsidR="00A75A6B" w:rsidRDefault="00A75A6B">
            <w:pPr>
              <w:snapToGrid w:val="0"/>
              <w:rPr>
                <w:b/>
                <w:bCs/>
              </w:rPr>
            </w:pPr>
          </w:p>
          <w:p w:rsidR="00A75A6B" w:rsidRDefault="00A75A6B">
            <w:pPr>
              <w:snapToGrid w:val="0"/>
              <w:rPr>
                <w:b/>
                <w:bCs/>
              </w:rPr>
            </w:pP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</w:pPr>
            <w:r>
              <w:t>Квартиры сдаются с чистовой отделкой с выполнением следующих работ:</w:t>
            </w:r>
          </w:p>
          <w:p w:rsidR="00A75A6B" w:rsidRDefault="00051DEC">
            <w:r>
              <w:t>-Установка стеклопакетов.</w:t>
            </w:r>
          </w:p>
          <w:p w:rsidR="00A75A6B" w:rsidRDefault="00051DEC">
            <w:r>
              <w:t>-Установка входных и межкомнатных дверей.</w:t>
            </w:r>
          </w:p>
          <w:p w:rsidR="00A75A6B" w:rsidRDefault="00051DEC">
            <w:r>
              <w:t xml:space="preserve">-Выполнение электрической разводки по- - </w:t>
            </w:r>
            <w:proofErr w:type="spellStart"/>
            <w:r>
              <w:t>квартирно</w:t>
            </w:r>
            <w:proofErr w:type="spellEnd"/>
            <w:r>
              <w:t xml:space="preserve"> с установкой выключателей, </w:t>
            </w:r>
            <w:proofErr w:type="gramStart"/>
            <w:r>
              <w:t>розеток  и</w:t>
            </w:r>
            <w:proofErr w:type="gramEnd"/>
            <w:r>
              <w:t xml:space="preserve">  установкой внутриквартирного щита. Ввод слаботочных сетей в квартиру.</w:t>
            </w:r>
          </w:p>
          <w:p w:rsidR="00A75A6B" w:rsidRDefault="00051DEC">
            <w:r>
              <w:t>-Установка электрических плит</w:t>
            </w:r>
          </w:p>
          <w:p w:rsidR="00A75A6B" w:rsidRDefault="00051DEC">
            <w:r>
              <w:t>-Монтаж системы отопления с установкой отопительных приборов.</w:t>
            </w:r>
          </w:p>
          <w:p w:rsidR="00A75A6B" w:rsidRDefault="00051DEC">
            <w:r>
              <w:t xml:space="preserve">-Монтаж системы холодного и горячего водоснабжения с установкой </w:t>
            </w:r>
            <w:proofErr w:type="spellStart"/>
            <w:r>
              <w:t>санфаянса</w:t>
            </w:r>
            <w:proofErr w:type="spellEnd"/>
            <w:r>
              <w:t>.</w:t>
            </w:r>
          </w:p>
        </w:tc>
      </w:tr>
      <w:tr w:rsidR="00A75A6B"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Функциональное назначение                       нежилых помещений    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</w:pPr>
            <w:r>
              <w:t>Офисные помещения, бильярдная, досуговый центр для взрослых</w:t>
            </w:r>
          </w:p>
        </w:tc>
      </w:tr>
      <w:tr w:rsidR="00A75A6B">
        <w:trPr>
          <w:trHeight w:val="658"/>
        </w:trPr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 составе общего имущества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jc w:val="both"/>
            </w:pPr>
            <w:r>
              <w:t xml:space="preserve">Собственникам помещений в многоквартирном доме будет принадлежать на праве общей долевой собственности, помещения в данном доме, не являющиеся частями квартир и нежилых помещений, предназначенные для обслуживания более одного помещения в данном доме, в том числе межквартирные лестничные площадки, лестницы, коридоры, подвалы, в которых имеются инженерные коммуникации, а также крыши, ограждающие несущие и не 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  и обслуживающее более одного помещения, земельный участок, на котором расположен данный дом, с элементами озеленения и благоустройства </w:t>
            </w:r>
          </w:p>
        </w:tc>
      </w:tr>
      <w:tr w:rsidR="00A75A6B">
        <w:tc>
          <w:tcPr>
            <w:tcW w:w="1072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Предполагаемый срок ввода объекта в эксплуатацию</w:t>
            </w:r>
          </w:p>
        </w:tc>
      </w:tr>
      <w:tr w:rsidR="00A75A6B">
        <w:trPr>
          <w:trHeight w:val="1020"/>
        </w:trPr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</w:pPr>
            <w:r>
              <w:t xml:space="preserve">Предполагаемый срок ввода объекта – 2 </w:t>
            </w:r>
            <w:proofErr w:type="spellStart"/>
            <w:r>
              <w:t>полуг</w:t>
            </w:r>
            <w:proofErr w:type="spellEnd"/>
            <w:r>
              <w:t>. 2018г.</w:t>
            </w:r>
            <w:proofErr w:type="gramStart"/>
            <w:r>
              <w:t>,  в</w:t>
            </w:r>
            <w:proofErr w:type="gramEnd"/>
            <w:r>
              <w:t xml:space="preserve"> приемке дома в эксплуатацию будут принимать участие следующие организации и учреждения:</w:t>
            </w:r>
          </w:p>
          <w:p w:rsidR="00A75A6B" w:rsidRDefault="00051DEC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</w:pPr>
            <w:r>
              <w:t>государственный строительный надзор</w:t>
            </w:r>
          </w:p>
          <w:p w:rsidR="00A75A6B" w:rsidRDefault="00051DEC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</w:pPr>
            <w:proofErr w:type="gramStart"/>
            <w:r>
              <w:t>организации</w:t>
            </w:r>
            <w:proofErr w:type="gramEnd"/>
            <w:r>
              <w:t xml:space="preserve"> осуществляющие эксплуатацию инженерных сетей</w:t>
            </w:r>
          </w:p>
          <w:p w:rsidR="00A75A6B" w:rsidRDefault="00051DEC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</w:pPr>
            <w:r>
              <w:t>отдел выдачи разрешений и ввода в эксплуатацию</w:t>
            </w:r>
          </w:p>
          <w:p w:rsidR="00A75A6B" w:rsidRDefault="00051DEC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</w:pPr>
            <w:r>
              <w:t>эксплуатирующая организация</w:t>
            </w:r>
          </w:p>
        </w:tc>
      </w:tr>
      <w:tr w:rsidR="00A75A6B"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A75A6B">
            <w:pPr>
              <w:snapToGrid w:val="0"/>
              <w:jc w:val="center"/>
              <w:rPr>
                <w:b/>
                <w:bCs/>
              </w:rPr>
            </w:pPr>
          </w:p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Возможные финансовые риски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jc w:val="both"/>
            </w:pPr>
            <w:r>
              <w:t xml:space="preserve">Возможными финансовыми рисками являются форс мажорные обстоятельства (стихийные, техногенные бедствия) </w:t>
            </w:r>
          </w:p>
          <w:p w:rsidR="00A75A6B" w:rsidRDefault="00051DEC">
            <w:pPr>
              <w:snapToGrid w:val="0"/>
              <w:jc w:val="both"/>
            </w:pPr>
            <w:r>
              <w:t xml:space="preserve">Ответственность застройщика за неисполнение или ненадлежащее исполнение обязательств по передаче объекта долевого строительства застрахованы в соответствии с </w:t>
            </w:r>
          </w:p>
          <w:p w:rsidR="00A75A6B" w:rsidRDefault="00051DEC">
            <w:pPr>
              <w:snapToGrid w:val="0"/>
            </w:pPr>
            <w:r>
              <w:t>п.15.2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ООО «Страховая компания «РЕСПЕКТ».</w:t>
            </w:r>
          </w:p>
        </w:tc>
      </w:tr>
      <w:tr w:rsidR="00A75A6B">
        <w:trPr>
          <w:trHeight w:val="675"/>
        </w:trPr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Информация о договорах и сделках, на основании которых привлекаются денежные средства для строительства многоквартирного дома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jc w:val="both"/>
            </w:pPr>
            <w:r>
              <w:t xml:space="preserve"> Привлечение денежных средств </w:t>
            </w:r>
            <w:r>
              <w:rPr>
                <w:bCs/>
              </w:rPr>
              <w:t xml:space="preserve">для строительства многоквартирного дома осуществляется исключительно на основании договоров участия в долевом строительстве в соответствии с </w:t>
            </w:r>
            <w:r>
              <w:t>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</w:r>
          </w:p>
        </w:tc>
      </w:tr>
      <w:tr w:rsidR="00A75A6B">
        <w:trPr>
          <w:trHeight w:val="675"/>
        </w:trPr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Планируемая стоимость строительства многоквартирного дома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jc w:val="both"/>
            </w:pPr>
            <w:r>
              <w:t xml:space="preserve"> </w:t>
            </w:r>
            <w:r>
              <w:rPr>
                <w:lang w:val="en-US"/>
              </w:rPr>
              <w:t>395</w:t>
            </w:r>
            <w:r>
              <w:t> </w:t>
            </w:r>
            <w:r>
              <w:rPr>
                <w:lang w:val="en-US"/>
              </w:rPr>
              <w:t xml:space="preserve">000 </w:t>
            </w:r>
            <w:proofErr w:type="spellStart"/>
            <w:r>
              <w:t>тыс.руб</w:t>
            </w:r>
            <w:proofErr w:type="spellEnd"/>
          </w:p>
        </w:tc>
      </w:tr>
      <w:tr w:rsidR="00A75A6B">
        <w:trPr>
          <w:trHeight w:val="647"/>
        </w:trPr>
        <w:tc>
          <w:tcPr>
            <w:tcW w:w="491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Перечень организаций, осуществляющие строительно-монтажные и другие работы</w:t>
            </w:r>
          </w:p>
        </w:tc>
        <w:tc>
          <w:tcPr>
            <w:tcW w:w="580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jc w:val="both"/>
            </w:pPr>
            <w:r>
              <w:t xml:space="preserve"> ООО «Строительная компания «</w:t>
            </w:r>
            <w:proofErr w:type="spellStart"/>
            <w:r>
              <w:t>Стэл</w:t>
            </w:r>
            <w:proofErr w:type="spellEnd"/>
            <w:r>
              <w:t>»,</w:t>
            </w:r>
          </w:p>
          <w:p w:rsidR="00A75A6B" w:rsidRDefault="00051DEC">
            <w:pPr>
              <w:snapToGrid w:val="0"/>
              <w:jc w:val="both"/>
            </w:pPr>
            <w:r>
              <w:t xml:space="preserve"> ООО «СУОР-15»</w:t>
            </w:r>
          </w:p>
        </w:tc>
      </w:tr>
      <w:tr w:rsidR="00A75A6B">
        <w:trPr>
          <w:trHeight w:val="1020"/>
        </w:trPr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Способ обеспечения исполнения обязательств застройщика по договору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jc w:val="both"/>
            </w:pPr>
            <w:r>
              <w:t>Залог в порядке статей 13-15 ФЗ «Об участии в долевом строительстве многоквартирных домов и иных объектов недвижимости»</w:t>
            </w:r>
          </w:p>
          <w:p w:rsidR="00A75A6B" w:rsidRDefault="00051DEC">
            <w:pPr>
              <w:snapToGrid w:val="0"/>
              <w:jc w:val="both"/>
            </w:pPr>
            <w:r>
              <w:t xml:space="preserve">Обязательства Застройщика по передаче Объекта долевого строительства застрахованы в соответствии с </w:t>
            </w:r>
          </w:p>
          <w:p w:rsidR="00A75A6B" w:rsidRDefault="00051DEC">
            <w:pPr>
              <w:snapToGrid w:val="0"/>
              <w:jc w:val="both"/>
            </w:pPr>
            <w:r>
              <w:t xml:space="preserve">п.15.2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ООО «Страховая компания «РЕСПЕКТ» (ИНН 7743014574, ОГРН102739329188, Место нахождения организации: 390023,Рязанская область </w:t>
            </w:r>
            <w:proofErr w:type="spellStart"/>
            <w:r>
              <w:t>г.Рязань</w:t>
            </w:r>
            <w:proofErr w:type="spellEnd"/>
            <w:r>
              <w:t>, ул. Есенина , д.29.</w:t>
            </w:r>
          </w:p>
        </w:tc>
      </w:tr>
      <w:tr w:rsidR="00A75A6B">
        <w:trPr>
          <w:trHeight w:val="1020"/>
        </w:trPr>
        <w:tc>
          <w:tcPr>
            <w:tcW w:w="49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5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A75A6B" w:rsidRDefault="00051DEC">
            <w:pPr>
              <w:snapToGrid w:val="0"/>
              <w:jc w:val="both"/>
            </w:pPr>
            <w:r>
              <w:t>Коммерческое обозначение, индивидуализирующее объект капитального строительства  - жилой комплекс «Виктория»</w:t>
            </w:r>
          </w:p>
        </w:tc>
      </w:tr>
    </w:tbl>
    <w:p w:rsidR="00A75A6B" w:rsidRDefault="00051DEC">
      <w:pPr>
        <w:shd w:val="clear" w:color="auto" w:fill="FFFFFF"/>
        <w:spacing w:before="749" w:after="158" w:line="100" w:lineRule="atLeast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Генеральный   директор ООО «</w:t>
      </w:r>
      <w:proofErr w:type="spellStart"/>
      <w:r>
        <w:rPr>
          <w:color w:val="000000"/>
          <w:spacing w:val="4"/>
          <w:sz w:val="28"/>
          <w:szCs w:val="28"/>
        </w:rPr>
        <w:t>Стэл-</w:t>
      </w:r>
      <w:proofErr w:type="gramStart"/>
      <w:r>
        <w:rPr>
          <w:color w:val="000000"/>
          <w:spacing w:val="4"/>
          <w:sz w:val="28"/>
          <w:szCs w:val="28"/>
        </w:rPr>
        <w:t>инвест</w:t>
      </w:r>
      <w:proofErr w:type="spellEnd"/>
      <w:r>
        <w:rPr>
          <w:color w:val="000000"/>
          <w:spacing w:val="4"/>
          <w:sz w:val="28"/>
          <w:szCs w:val="28"/>
        </w:rPr>
        <w:t xml:space="preserve">»   </w:t>
      </w:r>
      <w:proofErr w:type="gramEnd"/>
      <w:r>
        <w:rPr>
          <w:color w:val="000000"/>
          <w:spacing w:val="4"/>
          <w:sz w:val="28"/>
          <w:szCs w:val="28"/>
        </w:rPr>
        <w:t xml:space="preserve">                          В. В. Лукинов</w:t>
      </w:r>
    </w:p>
    <w:p w:rsidR="00A75A6B" w:rsidRDefault="00051DEC">
      <w:pPr>
        <w:shd w:val="clear" w:color="auto" w:fill="FFFFFF"/>
        <w:spacing w:before="749" w:after="158" w:line="100" w:lineRule="atLeast"/>
      </w:pPr>
      <w:r>
        <w:rPr>
          <w:color w:val="000000"/>
          <w:spacing w:val="4"/>
        </w:rPr>
        <w:lastRenderedPageBreak/>
        <w:t xml:space="preserve">Проектная декларация размещена на сайте </w:t>
      </w:r>
      <w:hyperlink r:id="rId6">
        <w:r>
          <w:rPr>
            <w:rStyle w:val="-"/>
            <w:spacing w:val="4"/>
            <w:lang w:val="en-US"/>
          </w:rPr>
          <w:t>www</w:t>
        </w:r>
        <w:r>
          <w:rPr>
            <w:rStyle w:val="-"/>
            <w:spacing w:val="4"/>
          </w:rPr>
          <w:t>.</w:t>
        </w:r>
        <w:proofErr w:type="spellStart"/>
        <w:r>
          <w:rPr>
            <w:rStyle w:val="-"/>
            <w:spacing w:val="4"/>
            <w:lang w:val="en-US"/>
          </w:rPr>
          <w:t>stelinvest</w:t>
        </w:r>
        <w:proofErr w:type="spellEnd"/>
        <w:r>
          <w:rPr>
            <w:rStyle w:val="-"/>
            <w:spacing w:val="4"/>
          </w:rPr>
          <w:t>.</w:t>
        </w:r>
        <w:proofErr w:type="spellStart"/>
        <w:r>
          <w:rPr>
            <w:rStyle w:val="-"/>
            <w:spacing w:val="4"/>
            <w:lang w:val="en-US"/>
          </w:rPr>
          <w:t>ru</w:t>
        </w:r>
        <w:proofErr w:type="spellEnd"/>
      </w:hyperlink>
      <w:r>
        <w:rPr>
          <w:color w:val="000000"/>
          <w:spacing w:val="4"/>
        </w:rPr>
        <w:t xml:space="preserve">     18.05.2015 г.</w:t>
      </w:r>
    </w:p>
    <w:sectPr w:rsidR="00A75A6B">
      <w:pgSz w:w="11906" w:h="16838"/>
      <w:pgMar w:top="142" w:right="886" w:bottom="33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74476"/>
    <w:multiLevelType w:val="multilevel"/>
    <w:tmpl w:val="3D2419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FF103C"/>
    <w:multiLevelType w:val="multilevel"/>
    <w:tmpl w:val="E33AD2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6B"/>
    <w:rsid w:val="00051DEC"/>
    <w:rsid w:val="00906149"/>
    <w:rsid w:val="00A75A6B"/>
    <w:rsid w:val="00F3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CFFA8"/>
  <w15:docId w15:val="{EC4DCB6D-4A80-4824-BD9C-8B6F8DD1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a3">
    <w:name w:val="Маркеры списка"/>
    <w:qFormat/>
    <w:rPr>
      <w:rFonts w:ascii="StarSymbol" w:eastAsia="StarSymbol" w:hAnsi="StarSymbol" w:cs="StarSymbol"/>
      <w:sz w:val="18"/>
      <w:szCs w:val="18"/>
    </w:rPr>
  </w:style>
  <w:style w:type="character" w:customStyle="1" w:styleId="a4">
    <w:name w:val="Текст выноски Знак"/>
    <w:qFormat/>
    <w:rsid w:val="00C53960"/>
    <w:rPr>
      <w:rFonts w:ascii="Tahoma" w:eastAsia="Lucida Sans Unicode" w:hAnsi="Tahoma" w:cs="Tahoma"/>
      <w:sz w:val="16"/>
      <w:szCs w:val="16"/>
    </w:rPr>
  </w:style>
  <w:style w:type="character" w:customStyle="1" w:styleId="a5">
    <w:name w:val="Верхний колонтитул Знак"/>
    <w:basedOn w:val="a0"/>
    <w:qFormat/>
    <w:rsid w:val="00C3103D"/>
    <w:rPr>
      <w:rFonts w:eastAsia="Lucida Sans Unicode"/>
      <w:sz w:val="24"/>
      <w:szCs w:val="24"/>
    </w:rPr>
  </w:style>
  <w:style w:type="character" w:customStyle="1" w:styleId="a6">
    <w:name w:val="Нижний колонтитул Знак"/>
    <w:basedOn w:val="a0"/>
    <w:qFormat/>
    <w:rsid w:val="00C3103D"/>
    <w:rPr>
      <w:rFonts w:eastAsia="Lucida Sans Unicode"/>
      <w:sz w:val="24"/>
      <w:szCs w:val="24"/>
    </w:rPr>
  </w:style>
  <w:style w:type="character" w:customStyle="1" w:styleId="-">
    <w:name w:val="Интернет-ссылка"/>
    <w:basedOn w:val="a0"/>
    <w:rsid w:val="00D775C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StarSymbol"/>
      <w:sz w:val="18"/>
      <w:szCs w:val="18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rFonts w:cs="StarSymbol"/>
      <w:sz w:val="18"/>
      <w:szCs w:val="18"/>
    </w:rPr>
  </w:style>
  <w:style w:type="character" w:customStyle="1" w:styleId="ListLabel4">
    <w:name w:val="ListLabel 4"/>
    <w:qFormat/>
    <w:rPr>
      <w:rFonts w:cs="StarSymbol"/>
      <w:sz w:val="18"/>
      <w:szCs w:val="18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character" w:customStyle="1" w:styleId="ListLabel6">
    <w:name w:val="ListLabel 6"/>
    <w:qFormat/>
    <w:rPr>
      <w:rFonts w:cs="StarSymbol"/>
      <w:sz w:val="18"/>
      <w:szCs w:val="18"/>
    </w:rPr>
  </w:style>
  <w:style w:type="character" w:customStyle="1" w:styleId="ListLabel7">
    <w:name w:val="ListLabel 7"/>
    <w:qFormat/>
    <w:rPr>
      <w:rFonts w:cs="StarSymbol"/>
      <w:sz w:val="18"/>
      <w:szCs w:val="18"/>
    </w:rPr>
  </w:style>
  <w:style w:type="character" w:customStyle="1" w:styleId="ListLabel8">
    <w:name w:val="ListLabel 8"/>
    <w:qFormat/>
    <w:rPr>
      <w:rFonts w:cs="StarSymbol"/>
      <w:sz w:val="18"/>
      <w:szCs w:val="18"/>
    </w:rPr>
  </w:style>
  <w:style w:type="character" w:customStyle="1" w:styleId="ListLabel9">
    <w:name w:val="ListLabel 9"/>
    <w:qFormat/>
    <w:rPr>
      <w:rFonts w:cs="StarSymbol"/>
      <w:sz w:val="18"/>
      <w:szCs w:val="18"/>
    </w:rPr>
  </w:style>
  <w:style w:type="paragraph" w:styleId="a7">
    <w:name w:val="Title"/>
    <w:basedOn w:val="1"/>
    <w:next w:val="a8"/>
    <w:qFormat/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styleId="ac">
    <w:name w:val="Subtitle"/>
    <w:basedOn w:val="1"/>
    <w:qFormat/>
    <w:pPr>
      <w:jc w:val="center"/>
    </w:pPr>
    <w:rPr>
      <w:i/>
      <w:iCs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qFormat/>
    <w:rsid w:val="00C53960"/>
    <w:rPr>
      <w:rFonts w:ascii="Tahoma" w:hAnsi="Tahoma" w:cs="Tahoma"/>
      <w:sz w:val="16"/>
      <w:szCs w:val="16"/>
    </w:rPr>
  </w:style>
  <w:style w:type="paragraph" w:styleId="af0">
    <w:name w:val="header"/>
    <w:basedOn w:val="a"/>
    <w:rsid w:val="00C3103D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C3103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elinve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6E92-A560-4624-821E-79367BBF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chudakova</dc:creator>
  <dc:description/>
  <cp:lastModifiedBy>Дмитрий Долинов</cp:lastModifiedBy>
  <cp:revision>8</cp:revision>
  <cp:lastPrinted>2016-05-23T12:42:00Z</cp:lastPrinted>
  <dcterms:created xsi:type="dcterms:W3CDTF">2016-06-28T11:25:00Z</dcterms:created>
  <dcterms:modified xsi:type="dcterms:W3CDTF">2017-04-18T12:15:00Z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